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62FD7F"/>
    <w:p w14:paraId="62AE15E5">
      <w:pPr>
        <w:spacing w:line="540" w:lineRule="exact"/>
        <w:jc w:val="center"/>
        <w:rPr>
          <w:rFonts w:hint="default" w:ascii="Times New Roman" w:hAnsi="Times New Roman" w:eastAsia="华文中宋" w:cs="Times New Roman"/>
          <w:b/>
          <w:kern w:val="0"/>
          <w:sz w:val="52"/>
          <w:szCs w:val="52"/>
          <w:highlight w:val="none"/>
        </w:rPr>
      </w:pPr>
    </w:p>
    <w:p w14:paraId="0D65B84E">
      <w:pPr>
        <w:spacing w:line="540" w:lineRule="exact"/>
        <w:rPr>
          <w:rFonts w:hint="default" w:ascii="Times New Roman" w:hAnsi="Times New Roman" w:eastAsia="华文中宋" w:cs="Times New Roman"/>
          <w:b/>
          <w:kern w:val="0"/>
          <w:sz w:val="52"/>
          <w:szCs w:val="52"/>
          <w:highlight w:val="none"/>
        </w:rPr>
      </w:pPr>
    </w:p>
    <w:p w14:paraId="0C0BE293">
      <w:pPr>
        <w:spacing w:line="540" w:lineRule="exact"/>
        <w:jc w:val="center"/>
        <w:rPr>
          <w:rFonts w:hint="default" w:ascii="Times New Roman" w:hAnsi="Times New Roman" w:eastAsia="华文中宋" w:cs="Times New Roman"/>
          <w:b/>
          <w:kern w:val="0"/>
          <w:sz w:val="52"/>
          <w:szCs w:val="52"/>
          <w:highlight w:val="none"/>
        </w:rPr>
      </w:pPr>
    </w:p>
    <w:p w14:paraId="5B2F5FBB">
      <w:pPr>
        <w:spacing w:line="540" w:lineRule="exact"/>
        <w:jc w:val="center"/>
        <w:rPr>
          <w:rFonts w:hint="default" w:ascii="Times New Roman" w:hAnsi="Times New Roman" w:eastAsia="华文中宋" w:cs="Times New Roman"/>
          <w:b/>
          <w:kern w:val="0"/>
          <w:sz w:val="52"/>
          <w:szCs w:val="52"/>
          <w:highlight w:val="none"/>
        </w:rPr>
      </w:pPr>
    </w:p>
    <w:p w14:paraId="4F7910F6">
      <w:pPr>
        <w:spacing w:line="540" w:lineRule="exact"/>
        <w:jc w:val="center"/>
        <w:rPr>
          <w:rFonts w:hint="default" w:ascii="Times New Roman" w:hAnsi="Times New Roman" w:eastAsia="方正小标宋_GBK" w:cs="Times New Roman"/>
          <w:kern w:val="0"/>
          <w:sz w:val="48"/>
          <w:szCs w:val="48"/>
          <w:highlight w:val="none"/>
        </w:rPr>
      </w:pPr>
      <w:r>
        <w:rPr>
          <w:rFonts w:hint="eastAsia" w:eastAsia="方正小标宋_GBK" w:cs="Times New Roman"/>
          <w:kern w:val="0"/>
          <w:sz w:val="48"/>
          <w:szCs w:val="48"/>
          <w:highlight w:val="none"/>
          <w:lang w:val="en-US" w:eastAsia="zh-CN"/>
        </w:rPr>
        <w:t>五个好标准化规范化党支部“进位之星”经费</w:t>
      </w:r>
      <w:r>
        <w:rPr>
          <w:rFonts w:hint="default" w:ascii="Times New Roman" w:hAnsi="Times New Roman" w:eastAsia="方正小标宋_GBK" w:cs="Times New Roman"/>
          <w:kern w:val="0"/>
          <w:sz w:val="48"/>
          <w:szCs w:val="48"/>
          <w:highlight w:val="none"/>
        </w:rPr>
        <w:t>项目支出绩效评价</w:t>
      </w:r>
    </w:p>
    <w:p w14:paraId="1238662D">
      <w:pPr>
        <w:spacing w:line="540" w:lineRule="exact"/>
        <w:jc w:val="center"/>
        <w:rPr>
          <w:rFonts w:hint="default" w:ascii="Times New Roman" w:hAnsi="Times New Roman" w:eastAsia="方正小标宋_GBK" w:cs="Times New Roman"/>
          <w:kern w:val="0"/>
          <w:sz w:val="48"/>
          <w:szCs w:val="48"/>
          <w:highlight w:val="none"/>
        </w:rPr>
      </w:pPr>
      <w:r>
        <w:rPr>
          <w:rFonts w:hint="default" w:ascii="Times New Roman" w:hAnsi="Times New Roman" w:eastAsia="方正小标宋_GBK" w:cs="Times New Roman"/>
          <w:kern w:val="0"/>
          <w:sz w:val="48"/>
          <w:szCs w:val="48"/>
          <w:highlight w:val="none"/>
        </w:rPr>
        <w:t>报告</w:t>
      </w:r>
    </w:p>
    <w:p w14:paraId="1DBCF5AD">
      <w:pPr>
        <w:spacing w:line="540" w:lineRule="exact"/>
        <w:jc w:val="center"/>
        <w:rPr>
          <w:rFonts w:hint="default" w:ascii="Times New Roman" w:hAnsi="Times New Roman" w:eastAsia="华文中宋" w:cs="Times New Roman"/>
          <w:b/>
          <w:kern w:val="0"/>
          <w:sz w:val="52"/>
          <w:szCs w:val="52"/>
          <w:highlight w:val="none"/>
        </w:rPr>
      </w:pPr>
    </w:p>
    <w:p w14:paraId="1086E8E5">
      <w:pPr>
        <w:spacing w:line="540" w:lineRule="exact"/>
        <w:jc w:val="center"/>
        <w:rPr>
          <w:rFonts w:hint="default" w:ascii="Times New Roman" w:hAnsi="Times New Roman" w:eastAsia="仿宋_GB2312" w:cs="Times New Roman"/>
          <w:kern w:val="0"/>
          <w:sz w:val="36"/>
          <w:szCs w:val="36"/>
          <w:highlight w:val="none"/>
        </w:rPr>
      </w:pPr>
      <w:r>
        <w:rPr>
          <w:rFonts w:hint="default" w:ascii="Times New Roman" w:hAnsi="Times New Roman" w:eastAsia="仿宋_GB2312" w:cs="Times New Roman"/>
          <w:kern w:val="0"/>
          <w:sz w:val="36"/>
          <w:szCs w:val="36"/>
          <w:highlight w:val="none"/>
        </w:rPr>
        <w:t>（202</w:t>
      </w:r>
      <w:r>
        <w:rPr>
          <w:rFonts w:hint="default" w:ascii="Times New Roman" w:hAnsi="Times New Roman" w:eastAsia="仿宋_GB2312" w:cs="Times New Roman"/>
          <w:kern w:val="0"/>
          <w:sz w:val="36"/>
          <w:szCs w:val="36"/>
          <w:highlight w:val="none"/>
          <w:lang w:val="en-US" w:eastAsia="zh-CN"/>
        </w:rPr>
        <w:t>4</w:t>
      </w:r>
      <w:r>
        <w:rPr>
          <w:rFonts w:hint="default" w:ascii="Times New Roman" w:hAnsi="Times New Roman" w:eastAsia="仿宋_GB2312" w:cs="Times New Roman"/>
          <w:kern w:val="0"/>
          <w:sz w:val="36"/>
          <w:szCs w:val="36"/>
          <w:highlight w:val="none"/>
        </w:rPr>
        <w:t>年度）</w:t>
      </w:r>
    </w:p>
    <w:p w14:paraId="351D1787">
      <w:pPr>
        <w:spacing w:line="540" w:lineRule="exact"/>
        <w:jc w:val="center"/>
        <w:rPr>
          <w:rFonts w:hint="default" w:ascii="Times New Roman" w:hAnsi="Times New Roman" w:eastAsia="仿宋_GB2312" w:cs="Times New Roman"/>
          <w:kern w:val="0"/>
          <w:sz w:val="30"/>
          <w:szCs w:val="30"/>
          <w:highlight w:val="none"/>
        </w:rPr>
      </w:pPr>
    </w:p>
    <w:p w14:paraId="59572D66">
      <w:pPr>
        <w:spacing w:line="540" w:lineRule="exact"/>
        <w:jc w:val="center"/>
        <w:rPr>
          <w:rFonts w:hint="default" w:ascii="Times New Roman" w:hAnsi="Times New Roman" w:eastAsia="仿宋_GB2312" w:cs="Times New Roman"/>
          <w:kern w:val="0"/>
          <w:sz w:val="30"/>
          <w:szCs w:val="30"/>
          <w:highlight w:val="none"/>
        </w:rPr>
      </w:pPr>
    </w:p>
    <w:p w14:paraId="45D1D9E6">
      <w:pPr>
        <w:spacing w:line="540" w:lineRule="exact"/>
        <w:jc w:val="center"/>
        <w:rPr>
          <w:rFonts w:hint="default" w:ascii="Times New Roman" w:hAnsi="Times New Roman" w:eastAsia="仿宋_GB2312" w:cs="Times New Roman"/>
          <w:kern w:val="0"/>
          <w:sz w:val="30"/>
          <w:szCs w:val="30"/>
          <w:highlight w:val="none"/>
        </w:rPr>
      </w:pPr>
    </w:p>
    <w:p w14:paraId="4EFD1B1C">
      <w:pPr>
        <w:pStyle w:val="9"/>
        <w:rPr>
          <w:rFonts w:hint="default" w:ascii="Times New Roman" w:hAnsi="Times New Roman" w:cs="Times New Roman"/>
          <w:highlight w:val="none"/>
        </w:rPr>
      </w:pPr>
    </w:p>
    <w:p w14:paraId="5531D270">
      <w:pPr>
        <w:spacing w:line="540" w:lineRule="exact"/>
        <w:jc w:val="center"/>
        <w:rPr>
          <w:rFonts w:hint="default" w:ascii="Times New Roman" w:hAnsi="Times New Roman" w:eastAsia="仿宋_GB2312" w:cs="Times New Roman"/>
          <w:kern w:val="0"/>
          <w:sz w:val="30"/>
          <w:szCs w:val="30"/>
          <w:highlight w:val="none"/>
        </w:rPr>
      </w:pPr>
    </w:p>
    <w:p w14:paraId="5D6BF01F">
      <w:pPr>
        <w:spacing w:line="540" w:lineRule="exact"/>
        <w:rPr>
          <w:rFonts w:hint="default" w:ascii="Times New Roman" w:hAnsi="Times New Roman" w:eastAsia="仿宋_GB2312" w:cs="Times New Roman"/>
          <w:kern w:val="0"/>
          <w:sz w:val="30"/>
          <w:szCs w:val="30"/>
          <w:highlight w:val="none"/>
        </w:rPr>
      </w:pPr>
    </w:p>
    <w:p w14:paraId="0BFDB56F">
      <w:pPr>
        <w:spacing w:line="700" w:lineRule="exact"/>
        <w:ind w:firstLine="1440" w:firstLineChars="400"/>
        <w:jc w:val="left"/>
        <w:rPr>
          <w:rFonts w:hint="default" w:ascii="Times New Roman" w:hAnsi="Times New Roman" w:eastAsia="仿宋_GB2312" w:cs="Times New Roman"/>
          <w:kern w:val="0"/>
          <w:sz w:val="36"/>
          <w:szCs w:val="36"/>
          <w:highlight w:val="none"/>
          <w:lang w:val="en-US" w:eastAsia="zh-CN"/>
        </w:rPr>
      </w:pPr>
      <w:r>
        <w:rPr>
          <w:rFonts w:hint="default" w:ascii="Times New Roman" w:hAnsi="Times New Roman" w:eastAsia="仿宋_GB2312" w:cs="Times New Roman"/>
          <w:kern w:val="0"/>
          <w:sz w:val="36"/>
          <w:szCs w:val="36"/>
          <w:highlight w:val="none"/>
        </w:rPr>
        <w:t>项目名称：</w:t>
      </w:r>
      <w:r>
        <w:rPr>
          <w:rFonts w:hint="eastAsia" w:eastAsia="仿宋_GB2312" w:cs="Times New Roman"/>
          <w:kern w:val="0"/>
          <w:sz w:val="36"/>
          <w:szCs w:val="36"/>
          <w:highlight w:val="none"/>
          <w:lang w:val="en-US" w:eastAsia="zh-CN"/>
        </w:rPr>
        <w:t>五个好标准化规范化党支部“进位之星”经费</w:t>
      </w:r>
    </w:p>
    <w:p w14:paraId="17DB008F">
      <w:pPr>
        <w:spacing w:line="700" w:lineRule="exact"/>
        <w:ind w:firstLine="1440" w:firstLineChars="400"/>
        <w:jc w:val="left"/>
        <w:rPr>
          <w:rFonts w:hint="default" w:ascii="Times New Roman" w:hAnsi="Times New Roman" w:eastAsia="仿宋_GB2312" w:cs="Times New Roman"/>
          <w:kern w:val="0"/>
          <w:sz w:val="36"/>
          <w:szCs w:val="36"/>
          <w:highlight w:val="none"/>
          <w:lang w:val="en-US" w:eastAsia="zh-CN"/>
        </w:rPr>
      </w:pPr>
      <w:r>
        <w:rPr>
          <w:rFonts w:hint="default" w:ascii="Times New Roman" w:hAnsi="Times New Roman" w:eastAsia="仿宋_GB2312" w:cs="Times New Roman"/>
          <w:kern w:val="0"/>
          <w:sz w:val="36"/>
          <w:szCs w:val="36"/>
          <w:highlight w:val="none"/>
        </w:rPr>
        <w:t>实施单位（公章）：</w:t>
      </w:r>
      <w:r>
        <w:rPr>
          <w:rFonts w:hint="eastAsia" w:eastAsia="仿宋_GB2312" w:cs="Times New Roman"/>
          <w:kern w:val="0"/>
          <w:sz w:val="36"/>
          <w:szCs w:val="36"/>
          <w:highlight w:val="none"/>
          <w:lang w:val="en-US" w:eastAsia="zh-CN"/>
        </w:rPr>
        <w:t>中共托里县委组织部</w:t>
      </w:r>
    </w:p>
    <w:p w14:paraId="48B2089E">
      <w:pPr>
        <w:spacing w:line="700" w:lineRule="exact"/>
        <w:ind w:firstLine="1440" w:firstLineChars="400"/>
        <w:jc w:val="left"/>
        <w:rPr>
          <w:rFonts w:hint="default" w:ascii="Times New Roman" w:hAnsi="Times New Roman" w:eastAsia="仿宋_GB2312" w:cs="Times New Roman"/>
          <w:kern w:val="0"/>
          <w:sz w:val="36"/>
          <w:szCs w:val="36"/>
          <w:highlight w:val="none"/>
          <w:lang w:val="en-US" w:eastAsia="zh-CN"/>
        </w:rPr>
      </w:pPr>
      <w:r>
        <w:rPr>
          <w:rFonts w:hint="default" w:ascii="Times New Roman" w:hAnsi="Times New Roman" w:eastAsia="仿宋_GB2312" w:cs="Times New Roman"/>
          <w:kern w:val="0"/>
          <w:sz w:val="36"/>
          <w:szCs w:val="36"/>
          <w:highlight w:val="none"/>
        </w:rPr>
        <w:t>主管部门（公章）：</w:t>
      </w:r>
      <w:r>
        <w:rPr>
          <w:rFonts w:hint="eastAsia" w:eastAsia="仿宋_GB2312" w:cs="Times New Roman"/>
          <w:kern w:val="0"/>
          <w:sz w:val="36"/>
          <w:szCs w:val="36"/>
          <w:highlight w:val="none"/>
          <w:lang w:val="en-US" w:eastAsia="zh-CN"/>
        </w:rPr>
        <w:t>托里县人民政府</w:t>
      </w:r>
    </w:p>
    <w:p w14:paraId="5E4E8D17">
      <w:pPr>
        <w:spacing w:line="700" w:lineRule="exact"/>
        <w:ind w:firstLine="1440" w:firstLineChars="400"/>
        <w:jc w:val="left"/>
        <w:rPr>
          <w:rFonts w:hint="eastAsia" w:ascii="Times New Roman" w:hAnsi="Times New Roman" w:eastAsia="仿宋_GB2312" w:cs="Times New Roman"/>
          <w:kern w:val="0"/>
          <w:sz w:val="36"/>
          <w:szCs w:val="36"/>
          <w:highlight w:val="none"/>
          <w:lang w:val="en-US" w:eastAsia="zh-CN"/>
        </w:rPr>
      </w:pPr>
      <w:r>
        <w:rPr>
          <w:rFonts w:hint="default" w:ascii="Times New Roman" w:hAnsi="Times New Roman" w:eastAsia="仿宋_GB2312" w:cs="Times New Roman"/>
          <w:kern w:val="0"/>
          <w:sz w:val="36"/>
          <w:szCs w:val="36"/>
          <w:highlight w:val="none"/>
        </w:rPr>
        <w:t>项目负责人（签章）：</w:t>
      </w:r>
      <w:r>
        <w:rPr>
          <w:rFonts w:hint="eastAsia" w:eastAsia="仿宋_GB2312" w:cs="Times New Roman"/>
          <w:kern w:val="0"/>
          <w:sz w:val="36"/>
          <w:szCs w:val="36"/>
          <w:highlight w:val="none"/>
          <w:lang w:val="en-US" w:eastAsia="zh-CN"/>
        </w:rPr>
        <w:t>欧莉敏</w:t>
      </w:r>
    </w:p>
    <w:p w14:paraId="2C3C58E6">
      <w:pPr>
        <w:spacing w:line="700" w:lineRule="exact"/>
        <w:ind w:firstLine="1440" w:firstLineChars="400"/>
        <w:jc w:val="left"/>
        <w:rPr>
          <w:rFonts w:hint="default" w:ascii="Times New Roman" w:hAnsi="Times New Roman" w:eastAsia="仿宋_GB2312" w:cs="Times New Roman"/>
          <w:kern w:val="0"/>
          <w:sz w:val="36"/>
          <w:szCs w:val="36"/>
          <w:highlight w:val="none"/>
        </w:rPr>
      </w:pPr>
      <w:r>
        <w:rPr>
          <w:rFonts w:hint="default" w:ascii="Times New Roman" w:hAnsi="Times New Roman" w:eastAsia="仿宋_GB2312" w:cs="Times New Roman"/>
          <w:kern w:val="0"/>
          <w:sz w:val="36"/>
          <w:szCs w:val="36"/>
          <w:highlight w:val="none"/>
        </w:rPr>
        <w:t>填报时间：</w:t>
      </w:r>
      <w:r>
        <w:rPr>
          <w:rFonts w:hint="eastAsia" w:eastAsia="仿宋_GB2312" w:cs="Times New Roman"/>
          <w:kern w:val="0"/>
          <w:sz w:val="36"/>
          <w:szCs w:val="36"/>
          <w:highlight w:val="none"/>
          <w:lang w:val="en-US" w:eastAsia="zh-CN"/>
        </w:rPr>
        <w:t>2025</w:t>
      </w:r>
      <w:r>
        <w:rPr>
          <w:rFonts w:hint="default" w:ascii="Times New Roman" w:hAnsi="Times New Roman" w:eastAsia="仿宋_GB2312" w:cs="Times New Roman"/>
          <w:kern w:val="0"/>
          <w:sz w:val="36"/>
          <w:szCs w:val="36"/>
          <w:highlight w:val="none"/>
        </w:rPr>
        <w:t>年</w:t>
      </w:r>
      <w:r>
        <w:rPr>
          <w:rFonts w:hint="eastAsia" w:eastAsia="仿宋_GB2312" w:cs="Times New Roman"/>
          <w:kern w:val="0"/>
          <w:sz w:val="36"/>
          <w:szCs w:val="36"/>
          <w:highlight w:val="none"/>
          <w:lang w:val="en-US" w:eastAsia="zh-CN"/>
        </w:rPr>
        <w:t>3</w:t>
      </w:r>
      <w:r>
        <w:rPr>
          <w:rFonts w:hint="default" w:ascii="Times New Roman" w:hAnsi="Times New Roman" w:eastAsia="仿宋_GB2312" w:cs="Times New Roman"/>
          <w:kern w:val="0"/>
          <w:sz w:val="36"/>
          <w:szCs w:val="36"/>
          <w:highlight w:val="none"/>
        </w:rPr>
        <w:t>月</w:t>
      </w:r>
      <w:r>
        <w:rPr>
          <w:rFonts w:hint="eastAsia" w:eastAsia="仿宋_GB2312" w:cs="Times New Roman"/>
          <w:kern w:val="0"/>
          <w:sz w:val="36"/>
          <w:szCs w:val="36"/>
          <w:highlight w:val="none"/>
          <w:lang w:val="en-US" w:eastAsia="zh-CN"/>
        </w:rPr>
        <w:t>26</w:t>
      </w:r>
      <w:r>
        <w:rPr>
          <w:rFonts w:hint="default" w:ascii="Times New Roman" w:hAnsi="Times New Roman" w:eastAsia="仿宋_GB2312" w:cs="Times New Roman"/>
          <w:kern w:val="0"/>
          <w:sz w:val="36"/>
          <w:szCs w:val="36"/>
          <w:highlight w:val="none"/>
        </w:rPr>
        <w:t>日</w:t>
      </w:r>
    </w:p>
    <w:p w14:paraId="2273B75F">
      <w:pPr>
        <w:spacing w:line="540" w:lineRule="exact"/>
        <w:jc w:val="center"/>
        <w:rPr>
          <w:rFonts w:hint="default" w:ascii="Times New Roman" w:hAnsi="Times New Roman" w:eastAsia="仿宋_GB2312" w:cs="Times New Roman"/>
          <w:kern w:val="0"/>
          <w:sz w:val="30"/>
          <w:szCs w:val="30"/>
          <w:highlight w:val="none"/>
        </w:rPr>
      </w:pPr>
    </w:p>
    <w:p w14:paraId="6515DDFD">
      <w:pPr>
        <w:spacing w:line="560" w:lineRule="exact"/>
        <w:rPr>
          <w:rFonts w:hint="default" w:ascii="Times New Roman" w:hAnsi="Times New Roman" w:eastAsia="黑体" w:cs="Times New Roman"/>
          <w:bCs/>
          <w:sz w:val="32"/>
          <w:szCs w:val="32"/>
          <w:highlight w:val="none"/>
        </w:rPr>
        <w:sectPr>
          <w:pgSz w:w="11906" w:h="16838"/>
          <w:pgMar w:top="1440" w:right="1558" w:bottom="1440" w:left="1800" w:header="851" w:footer="992" w:gutter="0"/>
          <w:cols w:space="425" w:num="1"/>
          <w:docGrid w:type="lines" w:linePitch="312" w:charSpace="0"/>
        </w:sectPr>
      </w:pPr>
    </w:p>
    <w:p w14:paraId="7BD5B178">
      <w:pPr>
        <w:spacing w:line="560" w:lineRule="exact"/>
        <w:ind w:firstLine="640" w:firstLineChars="200"/>
        <w:rPr>
          <w:rFonts w:hint="default" w:ascii="Times New Roman" w:hAnsi="Times New Roman" w:eastAsia="黑体" w:cs="Times New Roman"/>
          <w:bCs/>
          <w:sz w:val="32"/>
          <w:szCs w:val="32"/>
          <w:highlight w:val="none"/>
        </w:rPr>
      </w:pPr>
      <w:r>
        <w:rPr>
          <w:rFonts w:hint="default" w:ascii="Times New Roman" w:hAnsi="Times New Roman" w:eastAsia="黑体" w:cs="Times New Roman"/>
          <w:bCs/>
          <w:sz w:val="32"/>
          <w:szCs w:val="32"/>
          <w:highlight w:val="none"/>
        </w:rPr>
        <w:t>一、基本情况</w:t>
      </w:r>
    </w:p>
    <w:p w14:paraId="7D73C4BE">
      <w:pPr>
        <w:spacing w:line="560" w:lineRule="exact"/>
        <w:ind w:firstLine="643" w:firstLineChars="200"/>
        <w:rPr>
          <w:rFonts w:hint="default" w:ascii="Times New Roman" w:hAnsi="Times New Roman" w:eastAsia="楷体_GB2312" w:cs="Times New Roman"/>
          <w:b/>
          <w:bCs/>
          <w:sz w:val="32"/>
          <w:szCs w:val="32"/>
          <w:highlight w:val="none"/>
        </w:rPr>
      </w:pPr>
      <w:r>
        <w:rPr>
          <w:rFonts w:hint="default" w:ascii="Times New Roman" w:hAnsi="Times New Roman" w:eastAsia="楷体_GB2312" w:cs="Times New Roman"/>
          <w:b/>
          <w:bCs/>
          <w:sz w:val="32"/>
          <w:szCs w:val="32"/>
          <w:highlight w:val="none"/>
        </w:rPr>
        <w:t>（一）项目概况</w:t>
      </w:r>
    </w:p>
    <w:p w14:paraId="02398AAB">
      <w:pPr>
        <w:spacing w:line="560" w:lineRule="exact"/>
        <w:ind w:firstLine="643" w:firstLineChars="200"/>
        <w:rPr>
          <w:rFonts w:hint="default" w:ascii="Times New Roman" w:hAnsi="Times New Roman" w:eastAsia="仿宋_GB2312" w:cs="Times New Roman"/>
          <w:b/>
          <w:bCs/>
          <w:sz w:val="32"/>
          <w:szCs w:val="32"/>
          <w:highlight w:val="none"/>
        </w:rPr>
      </w:pPr>
      <w:r>
        <w:rPr>
          <w:rFonts w:hint="default" w:ascii="Times New Roman" w:hAnsi="Times New Roman" w:eastAsia="仿宋_GB2312" w:cs="Times New Roman"/>
          <w:b/>
          <w:bCs/>
          <w:sz w:val="32"/>
          <w:szCs w:val="32"/>
          <w:highlight w:val="none"/>
        </w:rPr>
        <w:t>1</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b/>
          <w:bCs/>
          <w:sz w:val="32"/>
          <w:szCs w:val="32"/>
          <w:highlight w:val="none"/>
        </w:rPr>
        <w:t>项目背景</w:t>
      </w:r>
    </w:p>
    <w:p w14:paraId="2D41E9A7">
      <w:pPr>
        <w:spacing w:line="560" w:lineRule="exact"/>
        <w:ind w:firstLine="640" w:firstLineChars="200"/>
        <w:rPr>
          <w:rFonts w:hint="default" w:eastAsia="仿宋_GB2312" w:cs="Times New Roman"/>
          <w:sz w:val="32"/>
          <w:szCs w:val="32"/>
          <w:highlight w:val="none"/>
          <w:lang w:val="en-US" w:eastAsia="zh-CN"/>
        </w:rPr>
      </w:pPr>
      <w:r>
        <w:rPr>
          <w:rFonts w:hint="default" w:eastAsia="仿宋_GB2312" w:cs="Times New Roman"/>
          <w:sz w:val="32"/>
          <w:szCs w:val="32"/>
          <w:highlight w:val="none"/>
          <w:lang w:val="en-US" w:eastAsia="zh-CN"/>
        </w:rPr>
        <w:t>地区各级党组织坚持以习近平新时代中国特色社会主义思想为指导，深入贯彻落实习近平总书记关于新疆工作的重要讲话和重要指示批示精神，完整准确全面贯彻新时代党的治疆方略，坚持把“五个好”标准化规范化党支部建设作为抓基层、强基础、固根基的有效载体和有力抓手，围绕中心，服务大局，在维护社会稳定、铸率中华民族共同体意识、推动高质量发展,巩固民族团结，党建引领基层治理等</w:t>
      </w:r>
      <w:r>
        <w:rPr>
          <w:rFonts w:hint="eastAsia" w:eastAsia="仿宋_GB2312" w:cs="Times New Roman"/>
          <w:sz w:val="32"/>
          <w:szCs w:val="32"/>
          <w:highlight w:val="none"/>
          <w:lang w:val="en-US" w:eastAsia="zh-CN"/>
        </w:rPr>
        <w:t>。</w:t>
      </w:r>
    </w:p>
    <w:p w14:paraId="6D311569">
      <w:pPr>
        <w:pStyle w:val="9"/>
        <w:numPr>
          <w:ilvl w:val="0"/>
          <w:numId w:val="0"/>
        </w:numPr>
        <w:spacing w:before="0" w:after="0" w:line="560" w:lineRule="exact"/>
        <w:ind w:firstLine="643" w:firstLineChars="200"/>
        <w:jc w:val="both"/>
        <w:rPr>
          <w:rFonts w:hint="default" w:ascii="Times New Roman" w:hAnsi="Times New Roman" w:eastAsia="仿宋_GB2312" w:cs="Times New Roman"/>
          <w:kern w:val="2"/>
          <w:highlight w:val="none"/>
        </w:rPr>
      </w:pPr>
      <w:r>
        <w:rPr>
          <w:rFonts w:hint="default" w:ascii="Times New Roman" w:hAnsi="Times New Roman" w:eastAsia="仿宋_GB2312" w:cs="Times New Roman"/>
          <w:kern w:val="2"/>
          <w:highlight w:val="none"/>
          <w:lang w:val="en-US" w:eastAsia="zh-CN"/>
        </w:rPr>
        <w:t>2.</w:t>
      </w:r>
      <w:r>
        <w:rPr>
          <w:rFonts w:hint="default" w:ascii="Times New Roman" w:hAnsi="Times New Roman" w:eastAsia="仿宋_GB2312" w:cs="Times New Roman"/>
          <w:kern w:val="2"/>
          <w:highlight w:val="none"/>
        </w:rPr>
        <w:t>项目主要内容：</w:t>
      </w:r>
    </w:p>
    <w:p w14:paraId="43D9F7D6">
      <w:pPr>
        <w:spacing w:line="560" w:lineRule="exact"/>
        <w:ind w:firstLine="640" w:firstLineChars="200"/>
        <w:rPr>
          <w:rFonts w:hint="default" w:eastAsia="仿宋_GB2312" w:cs="Times New Roman"/>
          <w:sz w:val="32"/>
          <w:szCs w:val="32"/>
          <w:highlight w:val="none"/>
          <w:lang w:val="en-US" w:eastAsia="zh-CN"/>
        </w:rPr>
      </w:pPr>
      <w:r>
        <w:rPr>
          <w:rFonts w:hint="default" w:eastAsia="仿宋_GB2312" w:cs="Times New Roman"/>
          <w:sz w:val="32"/>
          <w:szCs w:val="32"/>
          <w:highlight w:val="none"/>
          <w:lang w:val="en-US" w:eastAsia="zh-CN"/>
        </w:rPr>
        <w:t>重大工作任务中担当实干、奋勇争先，为地区经济社会高质量发展作出了积极贡献。为表扬先进，鼓舞士气、凝聚合力,激励地区各领域党支部在完整准确全面贯彻新时代党的治疆方略中更好展现担当，彰显作为</w:t>
      </w:r>
      <w:r>
        <w:rPr>
          <w:rFonts w:hint="eastAsia" w:eastAsia="仿宋_GB2312" w:cs="Times New Roman"/>
          <w:sz w:val="32"/>
          <w:szCs w:val="32"/>
          <w:highlight w:val="none"/>
          <w:lang w:val="en-US" w:eastAsia="zh-CN"/>
        </w:rPr>
        <w:t>，给五个好标准化规范化党支部“进位之星”下达经费</w:t>
      </w:r>
    </w:p>
    <w:p w14:paraId="30E781AC">
      <w:pPr>
        <w:spacing w:line="560" w:lineRule="exact"/>
        <w:ind w:firstLine="640" w:firstLineChars="200"/>
        <w:rPr>
          <w:rFonts w:hint="eastAsia" w:ascii="Times New Roman" w:hAnsi="Times New Roman" w:eastAsia="仿宋_GB2312" w:cs="Times New Roman"/>
          <w:highlight w:val="none"/>
          <w:lang w:eastAsia="zh-CN"/>
        </w:rPr>
      </w:pPr>
      <w:r>
        <w:rPr>
          <w:rFonts w:hint="default" w:ascii="Times New Roman" w:hAnsi="Times New Roman" w:eastAsia="仿宋_GB2312" w:cs="Times New Roman"/>
          <w:sz w:val="32"/>
          <w:szCs w:val="32"/>
          <w:highlight w:val="none"/>
        </w:rPr>
        <w:t>项目实施情况：</w:t>
      </w:r>
      <w:r>
        <w:rPr>
          <w:rFonts w:hint="eastAsia" w:eastAsia="仿宋_GB2312" w:cs="Times New Roman"/>
          <w:sz w:val="32"/>
          <w:szCs w:val="32"/>
          <w:highlight w:val="none"/>
          <w:lang w:val="en-US" w:eastAsia="zh-CN"/>
        </w:rPr>
        <w:t>向8个五个好标准化规范化党支部下达经费24万元：托里县托里镇城郊村党支部、托里县多拉特乡吉也克村党支部、托里县金硕社区党支部、托里县托里镇复兴路社区党总支、托里县委党校党支部、中国移动托里县分公司党支部、托里县第二中学第二党支部、托里县人民医院第一党支部；乡1个五个好标准化规范化“进位之星”下达经费3万元：托里县多拉特乡冬古列克村党支部。</w:t>
      </w:r>
    </w:p>
    <w:p w14:paraId="61C206D3">
      <w:pPr>
        <w:spacing w:line="560" w:lineRule="exact"/>
        <w:ind w:firstLine="643" w:firstLineChars="200"/>
        <w:rPr>
          <w:rFonts w:hint="default" w:ascii="Times New Roman" w:hAnsi="Times New Roman" w:eastAsia="仿宋_GB2312" w:cs="Times New Roman"/>
          <w:b/>
          <w:bCs/>
          <w:sz w:val="32"/>
          <w:szCs w:val="32"/>
          <w:highlight w:val="none"/>
        </w:rPr>
      </w:pPr>
      <w:r>
        <w:rPr>
          <w:rFonts w:hint="default" w:ascii="Times New Roman" w:hAnsi="Times New Roman" w:eastAsia="仿宋_GB2312" w:cs="Times New Roman"/>
          <w:b/>
          <w:bCs/>
          <w:sz w:val="32"/>
          <w:szCs w:val="32"/>
          <w:highlight w:val="none"/>
        </w:rPr>
        <w:t>3</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b/>
          <w:bCs/>
          <w:sz w:val="32"/>
          <w:szCs w:val="32"/>
          <w:highlight w:val="none"/>
        </w:rPr>
        <w:t>资金投入和使用情况</w:t>
      </w:r>
    </w:p>
    <w:p w14:paraId="451CEB17">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（1）资金投入情况</w:t>
      </w:r>
    </w:p>
    <w:p w14:paraId="435609EF">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该项目年初预算数</w:t>
      </w:r>
      <w:r>
        <w:rPr>
          <w:rFonts w:hint="eastAsia" w:eastAsia="仿宋_GB2312" w:cs="Times New Roman"/>
          <w:sz w:val="32"/>
          <w:szCs w:val="32"/>
          <w:highlight w:val="none"/>
          <w:lang w:val="en-US" w:eastAsia="zh-CN"/>
        </w:rPr>
        <w:t>0</w:t>
      </w:r>
      <w:r>
        <w:rPr>
          <w:rFonts w:hint="default" w:ascii="Times New Roman" w:hAnsi="Times New Roman" w:eastAsia="仿宋_GB2312" w:cs="Times New Roman"/>
          <w:sz w:val="32"/>
          <w:szCs w:val="32"/>
          <w:highlight w:val="none"/>
          <w:lang w:val="en-US" w:eastAsia="zh-CN"/>
        </w:rPr>
        <w:t>万元，全年预算数</w:t>
      </w:r>
      <w:r>
        <w:rPr>
          <w:rFonts w:hint="eastAsia" w:eastAsia="仿宋_GB2312" w:cs="Times New Roman"/>
          <w:sz w:val="32"/>
          <w:szCs w:val="32"/>
          <w:highlight w:val="none"/>
          <w:lang w:val="en-US" w:eastAsia="zh-CN"/>
        </w:rPr>
        <w:t>27</w:t>
      </w:r>
      <w:r>
        <w:rPr>
          <w:rFonts w:hint="default" w:ascii="Times New Roman" w:hAnsi="Times New Roman" w:eastAsia="仿宋_GB2312" w:cs="Times New Roman"/>
          <w:sz w:val="32"/>
          <w:szCs w:val="32"/>
          <w:highlight w:val="none"/>
          <w:lang w:val="en-US" w:eastAsia="zh-CN"/>
        </w:rPr>
        <w:t>万元，该项目资金已全部落实到位，资金来源为</w:t>
      </w:r>
      <w:r>
        <w:rPr>
          <w:rFonts w:hint="eastAsia" w:eastAsia="仿宋_GB2312" w:cs="Times New Roman"/>
          <w:sz w:val="32"/>
          <w:szCs w:val="32"/>
          <w:highlight w:val="none"/>
          <w:lang w:val="en-US" w:eastAsia="zh-CN"/>
        </w:rPr>
        <w:t>财政拨款</w:t>
      </w:r>
      <w:r>
        <w:rPr>
          <w:rFonts w:hint="default" w:ascii="Times New Roman" w:hAnsi="Times New Roman" w:eastAsia="仿宋_GB2312" w:cs="Times New Roman"/>
          <w:sz w:val="32"/>
          <w:szCs w:val="32"/>
          <w:highlight w:val="none"/>
          <w:lang w:val="en-US" w:eastAsia="zh-CN"/>
        </w:rPr>
        <w:t>。</w:t>
      </w:r>
    </w:p>
    <w:p w14:paraId="16E09FB0">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（2）资金使用情况</w:t>
      </w:r>
    </w:p>
    <w:p w14:paraId="22BDC87F">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该项目年初预算数</w:t>
      </w:r>
      <w:r>
        <w:rPr>
          <w:rFonts w:hint="eastAsia" w:eastAsia="仿宋_GB2312" w:cs="Times New Roman"/>
          <w:sz w:val="32"/>
          <w:szCs w:val="32"/>
          <w:highlight w:val="none"/>
          <w:lang w:val="en-US" w:eastAsia="zh-CN"/>
        </w:rPr>
        <w:t>0</w:t>
      </w:r>
      <w:r>
        <w:rPr>
          <w:rFonts w:hint="default" w:ascii="Times New Roman" w:hAnsi="Times New Roman" w:eastAsia="仿宋_GB2312" w:cs="Times New Roman"/>
          <w:sz w:val="32"/>
          <w:szCs w:val="32"/>
          <w:highlight w:val="none"/>
          <w:lang w:val="en-US" w:eastAsia="zh-CN"/>
        </w:rPr>
        <w:t>万元，全年预算数</w:t>
      </w:r>
      <w:r>
        <w:rPr>
          <w:rFonts w:hint="eastAsia" w:eastAsia="仿宋_GB2312" w:cs="Times New Roman"/>
          <w:sz w:val="32"/>
          <w:szCs w:val="32"/>
          <w:highlight w:val="none"/>
          <w:lang w:val="en-US" w:eastAsia="zh-CN"/>
        </w:rPr>
        <w:t>27</w:t>
      </w:r>
      <w:r>
        <w:rPr>
          <w:rFonts w:hint="default" w:ascii="Times New Roman" w:hAnsi="Times New Roman" w:eastAsia="仿宋_GB2312" w:cs="Times New Roman"/>
          <w:sz w:val="32"/>
          <w:szCs w:val="32"/>
          <w:highlight w:val="none"/>
          <w:lang w:val="en-US" w:eastAsia="zh-CN"/>
        </w:rPr>
        <w:t>万元，全年执行数</w:t>
      </w:r>
      <w:r>
        <w:rPr>
          <w:rFonts w:hint="eastAsia" w:eastAsia="仿宋_GB2312" w:cs="Times New Roman"/>
          <w:sz w:val="32"/>
          <w:szCs w:val="32"/>
          <w:highlight w:val="none"/>
          <w:lang w:val="en-US" w:eastAsia="zh-CN"/>
        </w:rPr>
        <w:t>27</w:t>
      </w:r>
      <w:r>
        <w:rPr>
          <w:rFonts w:hint="default" w:ascii="Times New Roman" w:hAnsi="Times New Roman" w:eastAsia="仿宋_GB2312" w:cs="Times New Roman"/>
          <w:sz w:val="32"/>
          <w:szCs w:val="32"/>
          <w:highlight w:val="none"/>
          <w:lang w:val="en-US" w:eastAsia="zh-CN"/>
        </w:rPr>
        <w:t>万元，预算执行率为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%，主要用于：</w:t>
      </w:r>
      <w:r>
        <w:rPr>
          <w:rFonts w:hint="eastAsia" w:eastAsia="仿宋_GB2312" w:cs="Times New Roman"/>
          <w:sz w:val="32"/>
          <w:szCs w:val="32"/>
          <w:highlight w:val="none"/>
          <w:lang w:val="en-US" w:eastAsia="zh-CN"/>
        </w:rPr>
        <w:t>向8个五个好标准化规范化党支部及1个进位之星下达经费。</w:t>
      </w:r>
    </w:p>
    <w:p w14:paraId="1B549109">
      <w:pPr>
        <w:spacing w:line="560" w:lineRule="exact"/>
        <w:ind w:firstLine="643" w:firstLineChars="200"/>
        <w:rPr>
          <w:rFonts w:hint="default" w:ascii="Times New Roman" w:hAnsi="Times New Roman" w:eastAsia="楷体_GB2312" w:cs="Times New Roman"/>
          <w:b/>
          <w:bCs/>
          <w:sz w:val="32"/>
          <w:szCs w:val="32"/>
          <w:highlight w:val="none"/>
        </w:rPr>
      </w:pPr>
      <w:r>
        <w:rPr>
          <w:rFonts w:hint="default" w:ascii="Times New Roman" w:hAnsi="Times New Roman" w:eastAsia="楷体_GB2312" w:cs="Times New Roman"/>
          <w:b/>
          <w:bCs/>
          <w:sz w:val="32"/>
          <w:szCs w:val="32"/>
          <w:highlight w:val="none"/>
        </w:rPr>
        <w:t>（二）项目绩效目标</w:t>
      </w:r>
    </w:p>
    <w:p w14:paraId="0F3929DC">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1</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sz w:val="32"/>
          <w:szCs w:val="32"/>
          <w:highlight w:val="none"/>
        </w:rPr>
        <w:t>总体目标</w:t>
      </w:r>
    </w:p>
    <w:p w14:paraId="6F3D6D57">
      <w:pPr>
        <w:shd w:val="clear" w:color="auto" w:fill="auto"/>
        <w:spacing w:line="600" w:lineRule="exact"/>
        <w:ind w:firstLine="640" w:firstLineChars="200"/>
        <w:outlineLvl w:val="0"/>
        <w:rPr>
          <w:rFonts w:hint="eastAsia" w:eastAsia="仿宋_GB2312" w:cs="Times New Roman"/>
          <w:sz w:val="32"/>
          <w:szCs w:val="32"/>
          <w:highlight w:val="none"/>
          <w:lang w:val="en-US" w:eastAsia="zh-CN"/>
        </w:rPr>
      </w:pPr>
      <w:r>
        <w:rPr>
          <w:rFonts w:hint="eastAsia" w:eastAsia="仿宋_GB2312" w:cs="Times New Roman"/>
          <w:sz w:val="32"/>
          <w:szCs w:val="32"/>
          <w:highlight w:val="none"/>
          <w:lang w:val="en-US" w:eastAsia="zh-CN"/>
        </w:rPr>
        <w:t>2023年，地区各级党组织坚持以习近平新时代中国特色社会主义思想为指导，深入贯彻落实习近平总书记关于新疆工作重要讲话和重要指示批示精神，完整准确全面贯彻新时代党的治疆方略，坚持把“五个好”标准化规范化党支部建设作为抓基层、强基础、固根基的有效载体和有力抓手，围绕中心、服务大局，表扬先进、鼓舞士气、凝聚合力，激励地区各领域党支部在完整准确全面贯彻新时代党的治疆方略中更好展现担当、彰显作为。资金完成27万元，基层党员、群众满意度达到95%。</w:t>
      </w:r>
    </w:p>
    <w:p w14:paraId="0B27C141">
      <w:pPr>
        <w:numPr>
          <w:ilvl w:val="0"/>
          <w:numId w:val="1"/>
        </w:num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阶段性目标</w:t>
      </w:r>
    </w:p>
    <w:p w14:paraId="57AECC89">
      <w:pPr>
        <w:numPr>
          <w:ilvl w:val="0"/>
          <w:numId w:val="0"/>
        </w:num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表彰五个好标准化规范化党支部“进位之星”评选在2023年开展，下达经费时间为2024年11月，经费使用时间为2024年12月，该项目的实施提升了基层党支部战斗堡垒作用。</w:t>
      </w:r>
    </w:p>
    <w:p w14:paraId="422CCA4E">
      <w:pPr>
        <w:spacing w:line="560" w:lineRule="exact"/>
        <w:ind w:firstLine="640" w:firstLineChars="200"/>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二、绩效评价工作开展情况</w:t>
      </w:r>
    </w:p>
    <w:p w14:paraId="42488C68">
      <w:pPr>
        <w:spacing w:line="560" w:lineRule="exact"/>
        <w:ind w:firstLine="643" w:firstLineChars="200"/>
        <w:rPr>
          <w:rFonts w:hint="default" w:ascii="Times New Roman" w:hAnsi="Times New Roman" w:eastAsia="楷体_GB2312" w:cs="Times New Roman"/>
          <w:b/>
          <w:bCs/>
          <w:sz w:val="32"/>
          <w:szCs w:val="32"/>
          <w:highlight w:val="none"/>
        </w:rPr>
      </w:pPr>
      <w:r>
        <w:rPr>
          <w:rFonts w:hint="default" w:ascii="Times New Roman" w:hAnsi="Times New Roman" w:eastAsia="楷体_GB2312" w:cs="Times New Roman"/>
          <w:b/>
          <w:bCs/>
          <w:sz w:val="32"/>
          <w:szCs w:val="32"/>
          <w:highlight w:val="none"/>
        </w:rPr>
        <w:t>（一）绩效评价目的、对象和范围</w:t>
      </w:r>
    </w:p>
    <w:p w14:paraId="05A8C61F">
      <w:pPr>
        <w:pStyle w:val="9"/>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lang w:val="en-US" w:eastAsia="zh-CN"/>
        </w:rPr>
      </w:pPr>
      <w:r>
        <w:rPr>
          <w:rFonts w:hint="default" w:ascii="Times New Roman" w:hAnsi="Times New Roman" w:eastAsia="仿宋_GB2312" w:cs="Times New Roman"/>
          <w:b w:val="0"/>
          <w:bCs w:val="0"/>
          <w:highlight w:val="none"/>
          <w:lang w:val="en-US" w:eastAsia="zh-CN"/>
        </w:rPr>
        <w:t>1.绩效评价完整性</w:t>
      </w:r>
    </w:p>
    <w:p w14:paraId="51E7A038">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本项目预算绩效评价报告在编制过程中，严格遵循相关法规与标准，确保评价内容的全面性与准确性。报告涵盖了项目从预算编制、执行到完成的全过程，对项目的各项绩效指标进行了细致的梳理与评估。</w:t>
      </w:r>
    </w:p>
    <w:p w14:paraId="5CA171DB">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在评价指标体系的构建上，充分考虑了项目的性质、目标以及预期成果，选取了具有代表性和可衡量性的关键指标，涵盖了社会效益</w:t>
      </w:r>
      <w:r>
        <w:rPr>
          <w:rFonts w:hint="eastAsia"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力求全方位反映项目的绩效状况。同时，对于每个指标的评价标准和数据来源均进行了明确说明，确保评价结果的客观性和可追溯性。</w:t>
      </w:r>
    </w:p>
    <w:p w14:paraId="69CC3CE7">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p>
    <w:p w14:paraId="458B783C">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p>
    <w:p w14:paraId="3FEA5361">
      <w:p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p>
    <w:p w14:paraId="6DC12C81">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rPr>
        <w:t>绩效评价的目的</w:t>
      </w:r>
    </w:p>
    <w:p w14:paraId="4677BD5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（1）评估项目实施效果</w:t>
      </w:r>
    </w:p>
    <w:p w14:paraId="27C691C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通过对项目预算执行情况及各项绩效目标达成程度的系统性分析，全面、客观地评估项目在预定周期内的实施效果，社会效益指标，为项目后续的改进与优化提供科学依据。</w:t>
      </w:r>
    </w:p>
    <w:p w14:paraId="17D334B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（2）提升资源利用效率</w:t>
      </w:r>
    </w:p>
    <w:p w14:paraId="237DF8C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p>
    <w:p w14:paraId="67CDB3A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（3）强化项目管理责任</w:t>
      </w:r>
    </w:p>
    <w:p w14:paraId="3EC2A10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14:paraId="7BCFC51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（4）为决策提供支持</w:t>
      </w:r>
    </w:p>
    <w:p w14:paraId="26E7E47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14:paraId="66F38B9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（5）促进项目持续改进</w:t>
      </w:r>
    </w:p>
    <w:p w14:paraId="5EF99F9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p>
    <w:p w14:paraId="0F21F8C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highlight w:val="none"/>
        </w:rPr>
      </w:pPr>
      <w:r>
        <w:rPr>
          <w:rFonts w:hint="default" w:ascii="Times New Roman" w:hAnsi="Times New Roman" w:eastAsia="仿宋_GB2312" w:cs="Times New Roman"/>
          <w:sz w:val="32"/>
          <w:szCs w:val="32"/>
          <w:highlight w:val="none"/>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p>
    <w:p w14:paraId="27DB5CED">
      <w:pPr>
        <w:pStyle w:val="9"/>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lang w:val="en-US" w:eastAsia="zh-CN"/>
        </w:rPr>
        <w:t>3</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b w:val="0"/>
          <w:bCs w:val="0"/>
          <w:highlight w:val="none"/>
        </w:rPr>
        <w:t>绩效评价的对象</w:t>
      </w:r>
    </w:p>
    <w:p w14:paraId="30151537">
      <w:pPr>
        <w:pStyle w:val="9"/>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本项目预算绩效评价报告的评价对象是</w:t>
      </w:r>
      <w:r>
        <w:rPr>
          <w:rFonts w:hint="eastAsia" w:ascii="Times New Roman" w:hAnsi="Times New Roman" w:eastAsia="仿宋_GB2312" w:cs="Times New Roman"/>
          <w:b w:val="0"/>
          <w:bCs w:val="0"/>
          <w:highlight w:val="none"/>
          <w:lang w:val="en-US" w:eastAsia="zh-CN"/>
        </w:rPr>
        <w:t>五个好标准化规范化党支部“进位之星”经费项目</w:t>
      </w:r>
      <w:r>
        <w:rPr>
          <w:rFonts w:hint="default" w:ascii="Times New Roman" w:hAnsi="Times New Roman" w:eastAsia="仿宋_GB2312" w:cs="Times New Roman"/>
          <w:b w:val="0"/>
          <w:bCs w:val="0"/>
          <w:highlight w:val="none"/>
        </w:rPr>
        <w:t>及其预算执行情况。该项目</w:t>
      </w:r>
      <w:r>
        <w:rPr>
          <w:rFonts w:hint="default" w:ascii="Times New Roman" w:hAnsi="Times New Roman" w:eastAsia="仿宋_GB2312" w:cs="Times New Roman"/>
          <w:b w:val="0"/>
          <w:bCs w:val="0"/>
          <w:kern w:val="2"/>
          <w:sz w:val="32"/>
          <w:szCs w:val="32"/>
          <w:highlight w:val="none"/>
          <w:lang w:val="en-US" w:eastAsia="zh-CN" w:bidi="ar-SA"/>
        </w:rPr>
        <w:t>由</w:t>
      </w:r>
      <w:r>
        <w:rPr>
          <w:rFonts w:hint="eastAsia" w:ascii="Times New Roman" w:hAnsi="Times New Roman" w:eastAsia="仿宋_GB2312" w:cs="Times New Roman"/>
          <w:b w:val="0"/>
          <w:bCs w:val="0"/>
          <w:kern w:val="2"/>
          <w:sz w:val="32"/>
          <w:szCs w:val="32"/>
          <w:highlight w:val="none"/>
          <w:lang w:val="en-US" w:eastAsia="zh-CN" w:bidi="ar-SA"/>
        </w:rPr>
        <w:t>中共托里县委组织部</w:t>
      </w:r>
      <w:r>
        <w:rPr>
          <w:rFonts w:hint="default" w:ascii="Times New Roman" w:hAnsi="Times New Roman" w:eastAsia="仿宋_GB2312" w:cs="Times New Roman"/>
          <w:b w:val="0"/>
          <w:bCs w:val="0"/>
          <w:kern w:val="2"/>
          <w:sz w:val="32"/>
          <w:szCs w:val="32"/>
          <w:highlight w:val="none"/>
          <w:lang w:val="en-US" w:eastAsia="zh-CN" w:bidi="ar-SA"/>
        </w:rPr>
        <w:t>负责实施，旨在为表扬先进，鼓舞士气、凝聚合力,激励地区各领域党支部在完整准确全面贯彻新时代党的治疆方略中更好展现担当，彰显作为</w:t>
      </w:r>
      <w:r>
        <w:rPr>
          <w:rFonts w:hint="eastAsia" w:ascii="Times New Roman" w:hAnsi="Times New Roman" w:eastAsia="仿宋_GB2312" w:cs="Times New Roman"/>
          <w:b w:val="0"/>
          <w:bCs w:val="0"/>
          <w:kern w:val="2"/>
          <w:sz w:val="32"/>
          <w:szCs w:val="32"/>
          <w:highlight w:val="none"/>
          <w:lang w:val="en-US" w:eastAsia="zh-CN" w:bidi="ar-SA"/>
        </w:rPr>
        <w:t>，给五个好标准化规范化党</w:t>
      </w:r>
      <w:r>
        <w:rPr>
          <w:rStyle w:val="15"/>
          <w:rFonts w:hint="eastAsia" w:eastAsia="黑体" w:cs="Times New Roman"/>
          <w:b w:val="0"/>
          <w:bCs/>
          <w:spacing w:val="-4"/>
          <w:sz w:val="32"/>
          <w:szCs w:val="32"/>
          <w:highlight w:val="none"/>
          <w:lang w:val="en-US" w:eastAsia="zh-CN"/>
        </w:rPr>
        <w:t>支部“进位之星”下达经费</w:t>
      </w:r>
      <w:r>
        <w:rPr>
          <w:rFonts w:hint="default" w:ascii="Times New Roman" w:hAnsi="Times New Roman" w:eastAsia="仿宋_GB2312" w:cs="Times New Roman"/>
          <w:b w:val="0"/>
          <w:bCs w:val="0"/>
          <w:highlight w:val="none"/>
        </w:rPr>
        <w:t>。项目预算涵盖从</w:t>
      </w:r>
      <w:r>
        <w:rPr>
          <w:rFonts w:hint="eastAsia" w:ascii="Times New Roman" w:hAnsi="Times New Roman" w:eastAsia="仿宋_GB2312" w:cs="Times New Roman"/>
          <w:b w:val="0"/>
          <w:bCs w:val="0"/>
          <w:highlight w:val="none"/>
          <w:lang w:val="en-US" w:eastAsia="zh-CN"/>
        </w:rPr>
        <w:t>2024年1月</w:t>
      </w:r>
      <w:r>
        <w:rPr>
          <w:rFonts w:hint="default" w:ascii="Times New Roman" w:hAnsi="Times New Roman" w:eastAsia="仿宋_GB2312" w:cs="Times New Roman"/>
          <w:b w:val="0"/>
          <w:bCs w:val="0"/>
          <w:highlight w:val="none"/>
        </w:rPr>
        <w:t>至</w:t>
      </w:r>
      <w:r>
        <w:rPr>
          <w:rFonts w:hint="eastAsia" w:ascii="Times New Roman" w:hAnsi="Times New Roman" w:eastAsia="仿宋_GB2312" w:cs="Times New Roman"/>
          <w:b w:val="0"/>
          <w:bCs w:val="0"/>
          <w:highlight w:val="none"/>
          <w:lang w:val="en-US" w:eastAsia="zh-CN"/>
        </w:rPr>
        <w:t>12月</w:t>
      </w:r>
      <w:r>
        <w:rPr>
          <w:rFonts w:hint="default" w:ascii="Times New Roman" w:hAnsi="Times New Roman" w:eastAsia="仿宋_GB2312" w:cs="Times New Roman"/>
          <w:b w:val="0"/>
          <w:bCs w:val="0"/>
          <w:highlight w:val="none"/>
        </w:rPr>
        <w:t>的全部资金投入与支出，涉及资金总额为</w:t>
      </w:r>
      <w:r>
        <w:rPr>
          <w:rFonts w:hint="eastAsia" w:ascii="Times New Roman" w:hAnsi="Times New Roman" w:eastAsia="仿宋_GB2312" w:cs="Times New Roman"/>
          <w:b w:val="0"/>
          <w:bCs w:val="0"/>
          <w:highlight w:val="none"/>
          <w:lang w:val="en-US" w:eastAsia="zh-CN"/>
        </w:rPr>
        <w:t>27</w:t>
      </w:r>
      <w:r>
        <w:rPr>
          <w:rFonts w:hint="default" w:ascii="Times New Roman" w:hAnsi="Times New Roman" w:eastAsia="仿宋_GB2312" w:cs="Times New Roman"/>
          <w:b w:val="0"/>
          <w:bCs w:val="0"/>
          <w:highlight w:val="none"/>
          <w:lang w:val="en-US" w:eastAsia="zh-CN"/>
        </w:rPr>
        <w:t>万</w:t>
      </w:r>
      <w:r>
        <w:rPr>
          <w:rFonts w:hint="default" w:ascii="Times New Roman" w:hAnsi="Times New Roman" w:eastAsia="仿宋_GB2312" w:cs="Times New Roman"/>
          <w:b w:val="0"/>
          <w:bCs w:val="0"/>
          <w:highlight w:val="none"/>
        </w:rPr>
        <w:t>元。</w:t>
      </w:r>
    </w:p>
    <w:p w14:paraId="723B411F">
      <w:pPr>
        <w:pStyle w:val="9"/>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lang w:val="en-US" w:eastAsia="zh-CN"/>
        </w:rPr>
        <w:t>4.</w:t>
      </w:r>
      <w:r>
        <w:rPr>
          <w:rFonts w:hint="default" w:ascii="Times New Roman" w:hAnsi="Times New Roman" w:eastAsia="仿宋_GB2312" w:cs="Times New Roman"/>
          <w:b w:val="0"/>
          <w:bCs w:val="0"/>
          <w:highlight w:val="none"/>
        </w:rPr>
        <w:t>绩效评价的范围</w:t>
      </w:r>
    </w:p>
    <w:p w14:paraId="2F599B00">
      <w:pPr>
        <w:pStyle w:val="9"/>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本项目预算绩效评价报告的评价范围广泛而全面，涵盖了从项目立项至评价时点期间的所有关键预算活动和财务流程。具体而言，评价范围包括但不限于以下几个方面：</w:t>
      </w:r>
    </w:p>
    <w:p w14:paraId="76581859">
      <w:pPr>
        <w:pStyle w:val="9"/>
        <w:widowControl w:val="0"/>
        <w:numPr>
          <w:ilvl w:val="0"/>
          <w:numId w:val="2"/>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项目预算编制与执行：全面审视项目预算的编制依据、合理性、科学性以及实际执行情况，包括预算调整的原因和效果。</w:t>
      </w:r>
    </w:p>
    <w:p w14:paraId="66B84BB5">
      <w:pPr>
        <w:pStyle w:val="9"/>
        <w:widowControl w:val="0"/>
        <w:numPr>
          <w:ilvl w:val="0"/>
          <w:numId w:val="2"/>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资金管理：深入分析项目资金的分配、使用和监管情况，确保资金使用的合规性、高效性和透明度。</w:t>
      </w:r>
    </w:p>
    <w:p w14:paraId="7CE16AA9">
      <w:pPr>
        <w:spacing w:line="560" w:lineRule="exact"/>
        <w:ind w:firstLine="643" w:firstLineChars="200"/>
        <w:rPr>
          <w:rFonts w:hint="default" w:ascii="Times New Roman" w:hAnsi="Times New Roman" w:cs="Times New Roman"/>
          <w:highlight w:val="none"/>
        </w:rPr>
      </w:pPr>
      <w:r>
        <w:rPr>
          <w:rFonts w:hint="default" w:ascii="Times New Roman" w:hAnsi="Times New Roman" w:eastAsia="楷体_GB2312" w:cs="Times New Roman"/>
          <w:b/>
          <w:bCs/>
          <w:sz w:val="32"/>
          <w:szCs w:val="32"/>
          <w:highlight w:val="none"/>
        </w:rPr>
        <w:t>（二）绩效评价原则、评价指标体系（详情见表1）、评价方法、评价标准。</w:t>
      </w:r>
    </w:p>
    <w:p w14:paraId="0ABE2656">
      <w:pPr>
        <w:pStyle w:val="9"/>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1</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b w:val="0"/>
          <w:bCs w:val="0"/>
          <w:highlight w:val="none"/>
        </w:rPr>
        <w:t>绩效评价原则</w:t>
      </w:r>
    </w:p>
    <w:p w14:paraId="082160D2">
      <w:pPr>
        <w:spacing w:line="560" w:lineRule="exact"/>
        <w:ind w:firstLine="640" w:firstLineChars="200"/>
        <w:rPr>
          <w:rFonts w:hint="default" w:ascii="Times New Roman" w:hAnsi="Times New Roman" w:eastAsia="仿宋_GB2312" w:cs="Times New Roman"/>
          <w:color w:val="000000"/>
          <w:sz w:val="32"/>
          <w:szCs w:val="32"/>
          <w:highlight w:val="none"/>
        </w:rPr>
      </w:pPr>
      <w:r>
        <w:rPr>
          <w:rFonts w:hint="default" w:ascii="Times New Roman" w:hAnsi="Times New Roman" w:eastAsia="仿宋_GB2312" w:cs="Times New Roman"/>
          <w:color w:val="000000"/>
          <w:sz w:val="32"/>
          <w:szCs w:val="32"/>
          <w:highlight w:val="none"/>
        </w:rPr>
        <w:t>本次项目绩效评价遵循以下基本原则：</w:t>
      </w:r>
    </w:p>
    <w:p w14:paraId="46F04443">
      <w:pPr>
        <w:pStyle w:val="9"/>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（1）科学公正。绩效评价应当运用科学合理的方法，按照规范的程序，对项目绩效进行客观、公正的反映。</w:t>
      </w:r>
    </w:p>
    <w:p w14:paraId="055C835E">
      <w:pPr>
        <w:pStyle w:val="9"/>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（2）统筹兼顾。单位自评、部门评价和财政评价应职责明确，各有侧重，相互衔接。单位自评应由项目单位自主实施，即“谁支出、谁自评”。部门评价和财政评价应在单位自评的基础上开展。</w:t>
      </w:r>
    </w:p>
    <w:p w14:paraId="5C7BF211">
      <w:pPr>
        <w:pStyle w:val="9"/>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（3）激励约束。绩效评价结果应与预算安排、政策调整、改进管理实质性挂钩，体现奖优罚劣和激励相容导向，有效要安排、低效要压减、无效要问责。</w:t>
      </w:r>
    </w:p>
    <w:p w14:paraId="3710A8D0">
      <w:pPr>
        <w:pStyle w:val="9"/>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（4）公开透明。绩效评价结果应依法依规公开，并自觉接受社会监督。</w:t>
      </w:r>
    </w:p>
    <w:p w14:paraId="569EC26F">
      <w:pPr>
        <w:pStyle w:val="9"/>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2</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b w:val="0"/>
          <w:bCs w:val="0"/>
          <w:highlight w:val="none"/>
        </w:rPr>
        <w:t>评价指标体系</w:t>
      </w:r>
    </w:p>
    <w:p w14:paraId="215DB6D3">
      <w:pPr>
        <w:spacing w:line="560" w:lineRule="exact"/>
        <w:ind w:firstLine="708" w:firstLineChars="200"/>
        <w:rPr>
          <w:rFonts w:hint="default" w:ascii="Times New Roman" w:hAnsi="Times New Roman"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绩效评价框架是开展绩效评价的核心。绩效评价框架包括评价准则、关键评价问题、评价指标、数据来源、数据收集方法等。指标体系建立过程如下：</w:t>
      </w:r>
    </w:p>
    <w:p w14:paraId="60A92612">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（1）确定评价指标</w:t>
      </w:r>
    </w:p>
    <w:p w14:paraId="237EFA95">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采用层次分析法，建立评价指标体系。绩效评价将指标分为项目决策指标、项目过程指标、项目产出指标、项目效益指标四个维度，最终形成一个由多个相互联系的指标组成的多层次指标体系。</w:t>
      </w:r>
    </w:p>
    <w:p w14:paraId="53554C59">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（2）确定权重</w:t>
      </w:r>
    </w:p>
    <w:p w14:paraId="0CCBC708">
      <w:pPr>
        <w:spacing w:line="560" w:lineRule="exact"/>
        <w:ind w:firstLine="708" w:firstLineChars="200"/>
        <w:rPr>
          <w:rFonts w:hint="default" w:ascii="Times New Roman" w:hAnsi="Times New Roman" w:eastAsia="仿宋_GB2312" w:cs="Times New Roman"/>
          <w:color w:val="FF0000"/>
          <w:spacing w:val="17"/>
          <w:sz w:val="32"/>
          <w:szCs w:val="32"/>
          <w:highlight w:val="none"/>
          <w:lang w:eastAsia="zh-CN"/>
        </w:rPr>
      </w:pPr>
      <w:r>
        <w:rPr>
          <w:rFonts w:hint="default" w:ascii="Times New Roman" w:hAnsi="Times New Roman" w:eastAsia="仿宋_GB2312" w:cs="Times New Roman"/>
          <w:color w:val="000000"/>
          <w:spacing w:val="17"/>
          <w:sz w:val="32"/>
          <w:szCs w:val="32"/>
          <w:highlight w:val="none"/>
        </w:rPr>
        <w:t>确定各个指标相对于项目总体绩效的权重分值。在绩效评价指标体系中，项目决策权重为20分，项目过程权重为20分，项目产出权重为40分，项目效益权重为20分。</w:t>
      </w:r>
    </w:p>
    <w:p w14:paraId="56FCBBC2">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（3）确定指标标准值</w:t>
      </w:r>
    </w:p>
    <w:p w14:paraId="7A9ADAEC">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指标标准值是绩效评价指标的尺度，既要反映同类项目的先进水平，又要符合项目的实际绩效水平。具体采用计划标准等确定此次绩效评价指标标准值。</w:t>
      </w:r>
    </w:p>
    <w:p w14:paraId="61A0AED3">
      <w:pPr>
        <w:pStyle w:val="9"/>
        <w:spacing w:before="0" w:after="0" w:line="560" w:lineRule="exact"/>
        <w:ind w:firstLine="708" w:firstLineChars="200"/>
        <w:jc w:val="both"/>
        <w:rPr>
          <w:rFonts w:hint="default" w:ascii="Times New Roman" w:hAnsi="Times New Roman" w:eastAsia="仿宋_GB2312" w:cs="Times New Roman"/>
          <w:b w:val="0"/>
          <w:bCs w:val="0"/>
          <w:color w:val="000000"/>
          <w:spacing w:val="17"/>
          <w:kern w:val="2"/>
          <w:highlight w:val="none"/>
        </w:rPr>
      </w:pPr>
      <w:r>
        <w:rPr>
          <w:rFonts w:hint="default" w:ascii="Times New Roman" w:hAnsi="Times New Roman" w:eastAsia="仿宋_GB2312" w:cs="Times New Roman"/>
          <w:b w:val="0"/>
          <w:bCs w:val="0"/>
          <w:color w:val="000000"/>
          <w:spacing w:val="17"/>
          <w:kern w:val="2"/>
          <w:highlight w:val="none"/>
        </w:rPr>
        <w:t>绩效评价总分值100分，根据综合评分结果，90（含）-100分为优、80（含）-90分为良、60（含）-80分为中、60分以下为差。</w:t>
      </w:r>
    </w:p>
    <w:p w14:paraId="122127EC">
      <w:pPr>
        <w:pStyle w:val="9"/>
        <w:widowControl w:val="0"/>
        <w:spacing w:before="0" w:after="0" w:line="560" w:lineRule="exact"/>
        <w:ind w:firstLine="708" w:firstLineChars="200"/>
        <w:jc w:val="both"/>
        <w:outlineLvl w:val="9"/>
        <w:rPr>
          <w:rFonts w:hint="default" w:ascii="Times New Roman" w:hAnsi="Times New Roman" w:eastAsia="仿宋_GB2312" w:cs="Times New Roman"/>
          <w:b w:val="0"/>
          <w:bCs w:val="0"/>
          <w:color w:val="000000"/>
          <w:spacing w:val="17"/>
          <w:highlight w:val="none"/>
        </w:rPr>
      </w:pPr>
      <w:r>
        <w:rPr>
          <w:rFonts w:hint="default" w:ascii="Times New Roman" w:hAnsi="Times New Roman" w:eastAsia="仿宋_GB2312" w:cs="Times New Roman"/>
          <w:b w:val="0"/>
          <w:bCs w:val="0"/>
          <w:color w:val="000000"/>
          <w:spacing w:val="17"/>
          <w:highlight w:val="none"/>
        </w:rPr>
        <w:t>具体评价指标体系详情见附件1</w:t>
      </w:r>
    </w:p>
    <w:p w14:paraId="173E015C">
      <w:pPr>
        <w:pStyle w:val="9"/>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3</w:t>
      </w:r>
      <w:r>
        <w:rPr>
          <w:rFonts w:hint="default" w:ascii="Times New Roman" w:hAnsi="Times New Roman" w:eastAsia="仿宋_GB2312" w:cs="Times New Roman"/>
          <w:b w:val="0"/>
          <w:bCs w:val="0"/>
          <w:highlight w:val="none"/>
          <w:lang w:val="en-US" w:eastAsia="zh-CN"/>
        </w:rPr>
        <w:t>.</w:t>
      </w:r>
      <w:r>
        <w:rPr>
          <w:rFonts w:hint="default" w:ascii="Times New Roman" w:hAnsi="Times New Roman" w:eastAsia="仿宋_GB2312" w:cs="Times New Roman"/>
          <w:b w:val="0"/>
          <w:bCs w:val="0"/>
          <w:highlight w:val="none"/>
        </w:rPr>
        <w:t>绩效评价方法</w:t>
      </w:r>
    </w:p>
    <w:p w14:paraId="4DAB61FC">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绩效评价从项目决策、项目过程、项目产出、项目效益四个维度进行评价。评价对象为项目目标实施情况，  评价核心为资金的支出完成情况和项目的产出效益。</w:t>
      </w:r>
    </w:p>
    <w:p w14:paraId="26E31518">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本次评价指标中，既有定性指标又有定量指标，各类指标因考核内容不同和客观标准不同存在较大差异，因此核定具体指标时采用了不同方法，具体评价方法如下：</w:t>
      </w:r>
    </w:p>
    <w:p w14:paraId="4CB399BD">
      <w:pPr>
        <w:keepNext w:val="0"/>
        <w:keepLines w:val="0"/>
        <w:pageBreakBefore w:val="0"/>
        <w:widowControl w:val="0"/>
        <w:numPr>
          <w:ilvl w:val="0"/>
          <w:numId w:val="3"/>
        </w:numPr>
        <w:kinsoku/>
        <w:wordWrap/>
        <w:overflowPunct/>
        <w:topLinePunct w:val="0"/>
        <w:autoSpaceDE/>
        <w:autoSpaceDN/>
        <w:bidi w:val="0"/>
        <w:adjustRightInd/>
        <w:snapToGrid/>
        <w:spacing w:line="560" w:lineRule="exact"/>
        <w:ind w:firstLine="708" w:firstLineChars="200"/>
        <w:textAlignment w:val="auto"/>
        <w:rPr>
          <w:rFonts w:hint="eastAsia" w:eastAsia="仿宋_GB2312" w:cs="Times New Roman"/>
          <w:color w:val="000000"/>
          <w:spacing w:val="17"/>
          <w:sz w:val="32"/>
          <w:szCs w:val="32"/>
          <w:highlight w:val="none"/>
          <w:lang w:val="en-US" w:eastAsia="zh-CN"/>
        </w:rPr>
      </w:pPr>
      <w:r>
        <w:rPr>
          <w:rFonts w:hint="default" w:ascii="Times New Roman" w:hAnsi="Times New Roman" w:eastAsia="仿宋_GB2312" w:cs="Times New Roman"/>
          <w:color w:val="000000"/>
          <w:spacing w:val="17"/>
          <w:sz w:val="32"/>
          <w:szCs w:val="32"/>
          <w:highlight w:val="none"/>
        </w:rPr>
        <w:t xml:space="preserve">成本效益分析法。是指将投入与产出、效益进行关联性分析的方法。 </w:t>
      </w:r>
      <w:r>
        <w:rPr>
          <w:rFonts w:hint="eastAsia" w:eastAsia="仿宋_GB2312" w:cs="Times New Roman"/>
          <w:color w:val="000000"/>
          <w:spacing w:val="17"/>
          <w:sz w:val="32"/>
          <w:szCs w:val="32"/>
          <w:highlight w:val="none"/>
          <w:lang w:val="en-US" w:eastAsia="zh-CN"/>
        </w:rPr>
        <w:t>通过各党支部评选，最终评选出8个五好党支部和1个五好党支部进位之星，该评选工作提高了各党支部的积极性，提升了基层党支部战斗堡垒作用</w:t>
      </w:r>
    </w:p>
    <w:p w14:paraId="0419A68D">
      <w:pPr>
        <w:keepNext w:val="0"/>
        <w:keepLines w:val="0"/>
        <w:pageBreakBefore w:val="0"/>
        <w:widowControl w:val="0"/>
        <w:numPr>
          <w:ilvl w:val="0"/>
          <w:numId w:val="3"/>
        </w:numPr>
        <w:kinsoku/>
        <w:wordWrap/>
        <w:overflowPunct/>
        <w:topLinePunct w:val="0"/>
        <w:autoSpaceDE/>
        <w:autoSpaceDN/>
        <w:bidi w:val="0"/>
        <w:adjustRightInd/>
        <w:snapToGrid/>
        <w:spacing w:line="560" w:lineRule="exact"/>
        <w:ind w:firstLine="708" w:firstLineChars="200"/>
        <w:textAlignment w:val="auto"/>
        <w:rPr>
          <w:rFonts w:hint="default" w:ascii="Times New Roman" w:hAnsi="Times New Roman" w:eastAsia="仿宋_GB2312" w:cs="Times New Roman"/>
          <w:color w:val="000000"/>
          <w:spacing w:val="17"/>
          <w:sz w:val="32"/>
          <w:szCs w:val="32"/>
          <w:highlight w:val="none"/>
          <w:lang w:val="en-US" w:eastAsia="zh-CN"/>
        </w:rPr>
      </w:pPr>
      <w:r>
        <w:rPr>
          <w:rFonts w:hint="default" w:ascii="Times New Roman" w:hAnsi="Times New Roman" w:eastAsia="仿宋_GB2312" w:cs="Times New Roman"/>
          <w:color w:val="000000"/>
          <w:spacing w:val="17"/>
          <w:sz w:val="32"/>
          <w:szCs w:val="32"/>
          <w:highlight w:val="none"/>
        </w:rPr>
        <w:t>公众评判法。是指通过专家评估、公众问卷及抽样调查等方式进行评判的方法。</w:t>
      </w:r>
      <w:r>
        <w:rPr>
          <w:rFonts w:hint="eastAsia" w:eastAsia="仿宋_GB2312" w:cs="Times New Roman"/>
          <w:color w:val="000000"/>
          <w:spacing w:val="17"/>
          <w:sz w:val="32"/>
          <w:szCs w:val="32"/>
          <w:highlight w:val="none"/>
          <w:lang w:val="en-US" w:eastAsia="zh-CN"/>
        </w:rPr>
        <w:t>该项目实施后对各参与人员进行满意度调查，调查其对评选活动的满意度，最终形成满意度调查分析，从而对该项目做出综合评价。</w:t>
      </w:r>
    </w:p>
    <w:p w14:paraId="1C7BEBBA">
      <w:pPr>
        <w:pStyle w:val="9"/>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4</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b w:val="0"/>
          <w:bCs w:val="0"/>
          <w:highlight w:val="none"/>
        </w:rPr>
        <w:t>评价标准</w:t>
      </w:r>
    </w:p>
    <w:p w14:paraId="381362C7">
      <w:pPr>
        <w:pStyle w:val="9"/>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绩效评价标准通常包括计划标准、行业标准、历史标准等，用于对绩效指标完成情况进行比较、分析、评价。本次评价主要采用了</w:t>
      </w:r>
      <w:r>
        <w:rPr>
          <w:rFonts w:hint="eastAsia" w:ascii="Times New Roman" w:hAnsi="Times New Roman" w:eastAsia="仿宋_GB2312" w:cs="Times New Roman"/>
          <w:b w:val="0"/>
          <w:bCs w:val="0"/>
          <w:highlight w:val="none"/>
          <w:lang w:val="en-US" w:eastAsia="zh-CN"/>
        </w:rPr>
        <w:t>计划</w:t>
      </w:r>
      <w:r>
        <w:rPr>
          <w:rFonts w:hint="default" w:ascii="Times New Roman" w:hAnsi="Times New Roman" w:eastAsia="仿宋_GB2312" w:cs="Times New Roman"/>
          <w:b w:val="0"/>
          <w:bCs w:val="0"/>
          <w:highlight w:val="none"/>
        </w:rPr>
        <w:t>标准。</w:t>
      </w:r>
    </w:p>
    <w:p w14:paraId="3A774D33">
      <w:pPr>
        <w:pStyle w:val="9"/>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lang w:eastAsia="zh-CN"/>
        </w:rPr>
        <w:t>（</w:t>
      </w:r>
      <w:r>
        <w:rPr>
          <w:rFonts w:hint="default" w:ascii="Times New Roman" w:hAnsi="Times New Roman" w:eastAsia="仿宋_GB2312" w:cs="Times New Roman"/>
          <w:b w:val="0"/>
          <w:bCs w:val="0"/>
          <w:highlight w:val="none"/>
          <w:lang w:val="en-US" w:eastAsia="zh-CN"/>
        </w:rPr>
        <w:t>1</w:t>
      </w:r>
      <w:r>
        <w:rPr>
          <w:rFonts w:hint="default" w:ascii="Times New Roman" w:hAnsi="Times New Roman" w:eastAsia="仿宋_GB2312" w:cs="Times New Roman"/>
          <w:b w:val="0"/>
          <w:bCs w:val="0"/>
          <w:highlight w:val="none"/>
          <w:lang w:eastAsia="zh-CN"/>
        </w:rPr>
        <w:t>）</w:t>
      </w:r>
      <w:r>
        <w:rPr>
          <w:rFonts w:hint="default" w:ascii="Times New Roman" w:hAnsi="Times New Roman" w:eastAsia="仿宋_GB2312" w:cs="Times New Roman"/>
          <w:b w:val="0"/>
          <w:bCs w:val="0"/>
          <w:highlight w:val="none"/>
        </w:rPr>
        <w:t>计划标准。指以预先制定的目标、计划、预算、定额等作为评价标准。</w:t>
      </w:r>
    </w:p>
    <w:p w14:paraId="36A01C06">
      <w:pPr>
        <w:pStyle w:val="9"/>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lang w:eastAsia="zh-CN"/>
        </w:rPr>
        <w:t>（</w:t>
      </w:r>
      <w:r>
        <w:rPr>
          <w:rFonts w:hint="default" w:ascii="Times New Roman" w:hAnsi="Times New Roman" w:eastAsia="仿宋_GB2312" w:cs="Times New Roman"/>
          <w:b w:val="0"/>
          <w:bCs w:val="0"/>
          <w:highlight w:val="none"/>
          <w:lang w:val="en-US" w:eastAsia="zh-CN"/>
        </w:rPr>
        <w:t>2</w:t>
      </w:r>
      <w:r>
        <w:rPr>
          <w:rFonts w:hint="default" w:ascii="Times New Roman" w:hAnsi="Times New Roman" w:eastAsia="仿宋_GB2312" w:cs="Times New Roman"/>
          <w:b w:val="0"/>
          <w:bCs w:val="0"/>
          <w:highlight w:val="none"/>
          <w:lang w:eastAsia="zh-CN"/>
        </w:rPr>
        <w:t>）</w:t>
      </w:r>
      <w:r>
        <w:rPr>
          <w:rFonts w:hint="default" w:ascii="Times New Roman" w:hAnsi="Times New Roman" w:eastAsia="仿宋_GB2312" w:cs="Times New Roman"/>
          <w:b w:val="0"/>
          <w:bCs w:val="0"/>
          <w:highlight w:val="none"/>
        </w:rPr>
        <w:t>行业标准。指参照国家公布的行业指标数据制定的评价标准。</w:t>
      </w:r>
    </w:p>
    <w:p w14:paraId="301E3143">
      <w:pPr>
        <w:pStyle w:val="9"/>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lang w:eastAsia="zh-CN"/>
        </w:rPr>
        <w:t>（</w:t>
      </w:r>
      <w:r>
        <w:rPr>
          <w:rFonts w:hint="default" w:ascii="Times New Roman" w:hAnsi="Times New Roman" w:eastAsia="仿宋_GB2312" w:cs="Times New Roman"/>
          <w:b w:val="0"/>
          <w:bCs w:val="0"/>
          <w:highlight w:val="none"/>
          <w:lang w:val="en-US" w:eastAsia="zh-CN"/>
        </w:rPr>
        <w:t>3</w:t>
      </w:r>
      <w:r>
        <w:rPr>
          <w:rFonts w:hint="default" w:ascii="Times New Roman" w:hAnsi="Times New Roman" w:eastAsia="仿宋_GB2312" w:cs="Times New Roman"/>
          <w:b w:val="0"/>
          <w:bCs w:val="0"/>
          <w:highlight w:val="none"/>
          <w:lang w:eastAsia="zh-CN"/>
        </w:rPr>
        <w:t>）</w:t>
      </w:r>
      <w:r>
        <w:rPr>
          <w:rFonts w:hint="default" w:ascii="Times New Roman" w:hAnsi="Times New Roman" w:eastAsia="仿宋_GB2312" w:cs="Times New Roman"/>
          <w:b w:val="0"/>
          <w:bCs w:val="0"/>
          <w:highlight w:val="none"/>
        </w:rPr>
        <w:t>历史标准。指参照历史数据制定的评价标准，为体现绩效改进的原则，在可实现的条件下应当确定相对较高的评价标准。</w:t>
      </w:r>
    </w:p>
    <w:p w14:paraId="11E7AEBC">
      <w:pPr>
        <w:pStyle w:val="9"/>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lang w:eastAsia="zh-CN"/>
        </w:rPr>
        <w:t>（</w:t>
      </w:r>
      <w:r>
        <w:rPr>
          <w:rFonts w:hint="default" w:ascii="Times New Roman" w:hAnsi="Times New Roman" w:eastAsia="仿宋_GB2312" w:cs="Times New Roman"/>
          <w:b w:val="0"/>
          <w:bCs w:val="0"/>
          <w:highlight w:val="none"/>
          <w:lang w:val="en-US" w:eastAsia="zh-CN"/>
        </w:rPr>
        <w:t>4</w:t>
      </w:r>
      <w:r>
        <w:rPr>
          <w:rFonts w:hint="default" w:ascii="Times New Roman" w:hAnsi="Times New Roman" w:eastAsia="仿宋_GB2312" w:cs="Times New Roman"/>
          <w:b w:val="0"/>
          <w:bCs w:val="0"/>
          <w:highlight w:val="none"/>
          <w:lang w:eastAsia="zh-CN"/>
        </w:rPr>
        <w:t>）</w:t>
      </w:r>
      <w:r>
        <w:rPr>
          <w:rFonts w:hint="default" w:ascii="Times New Roman" w:hAnsi="Times New Roman" w:eastAsia="仿宋_GB2312" w:cs="Times New Roman"/>
          <w:b w:val="0"/>
          <w:bCs w:val="0"/>
          <w:highlight w:val="none"/>
        </w:rPr>
        <w:t>财政部门和预算部门确认或认可的其他标准。</w:t>
      </w:r>
    </w:p>
    <w:p w14:paraId="36F219FE">
      <w:pPr>
        <w:pStyle w:val="9"/>
        <w:numPr>
          <w:ilvl w:val="0"/>
          <w:numId w:val="4"/>
        </w:numPr>
        <w:spacing w:before="0" w:after="0" w:line="560" w:lineRule="exact"/>
        <w:ind w:firstLine="711" w:firstLineChars="200"/>
        <w:jc w:val="both"/>
        <w:rPr>
          <w:rFonts w:hint="default" w:ascii="Times New Roman" w:hAnsi="Times New Roman" w:eastAsia="楷体" w:cs="Times New Roman"/>
          <w:color w:val="000000"/>
          <w:spacing w:val="17"/>
          <w:highlight w:val="none"/>
        </w:rPr>
      </w:pPr>
      <w:r>
        <w:rPr>
          <w:rFonts w:hint="default" w:ascii="Times New Roman" w:hAnsi="Times New Roman" w:eastAsia="楷体" w:cs="Times New Roman"/>
          <w:color w:val="000000"/>
          <w:spacing w:val="17"/>
          <w:highlight w:val="none"/>
        </w:rPr>
        <w:t>绩效评价工作过程</w:t>
      </w:r>
    </w:p>
    <w:p w14:paraId="65F4792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1</w:t>
      </w: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前期准备与规划</w:t>
      </w:r>
    </w:p>
    <w:p w14:paraId="4089E7F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在项目绩效评价工作启动之初，成立了专门的评价工作小组，小组成员由财务专家、项目管理专业人员及相关领域技术骨干组成，确保从多角度、全方位对项目绩效进行评价。同时，明确了评价工作的目标、范围、重点及时间安排，制定了详细的工作计划，为评价工作的顺利开展奠定了坚实基础。</w:t>
      </w:r>
    </w:p>
    <w:p w14:paraId="7BB50F0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lang w:eastAsia="zh-CN"/>
        </w:rPr>
        <w:t>）指标体系构建</w:t>
      </w:r>
    </w:p>
    <w:p w14:paraId="78E9429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依据项目的性质、目标以及预期成果，构建了科学合理的绩效评价指标体系。该指标体系涵盖了</w:t>
      </w:r>
      <w:r>
        <w:rPr>
          <w:rFonts w:hint="default" w:ascii="Times New Roman" w:hAnsi="Times New Roman" w:eastAsia="仿宋_GB2312" w:cs="Times New Roman"/>
          <w:color w:val="000000"/>
          <w:spacing w:val="17"/>
          <w:sz w:val="32"/>
          <w:szCs w:val="32"/>
          <w:highlight w:val="none"/>
        </w:rPr>
        <w:t>项目决策、项目过程、项目产出、项目效益四个维度</w:t>
      </w:r>
      <w:r>
        <w:rPr>
          <w:rFonts w:hint="default" w:ascii="Times New Roman" w:hAnsi="Times New Roman" w:eastAsia="仿宋_GB2312" w:cs="Times New Roman"/>
          <w:sz w:val="32"/>
          <w:szCs w:val="32"/>
          <w:highlight w:val="none"/>
          <w:lang w:eastAsia="zh-CN"/>
        </w:rPr>
        <w:t>，选取了具有代表性和可衡量性的关键指标，并为每个指标设定了明确的评价标准与权重，确保评价结果能够全面、准确地反映项目的绩效状况。</w:t>
      </w:r>
    </w:p>
    <w:p w14:paraId="60F3D12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3</w:t>
      </w:r>
      <w:r>
        <w:rPr>
          <w:rFonts w:hint="default" w:ascii="Times New Roman" w:hAnsi="Times New Roman" w:eastAsia="仿宋_GB2312" w:cs="Times New Roman"/>
          <w:sz w:val="32"/>
          <w:szCs w:val="32"/>
          <w:highlight w:val="none"/>
          <w:lang w:eastAsia="zh-CN"/>
        </w:rPr>
        <w:t>）数据收集与整理</w:t>
      </w:r>
    </w:p>
    <w:p w14:paraId="5EEF9FF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w:t>
      </w:r>
    </w:p>
    <w:p w14:paraId="1E4ADDA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4</w:t>
      </w:r>
      <w:r>
        <w:rPr>
          <w:rFonts w:hint="default" w:ascii="Times New Roman" w:hAnsi="Times New Roman" w:eastAsia="仿宋_GB2312" w:cs="Times New Roman"/>
          <w:sz w:val="32"/>
          <w:szCs w:val="32"/>
          <w:highlight w:val="none"/>
          <w:lang w:eastAsia="zh-CN"/>
        </w:rPr>
        <w:t>）数据分析与评估</w:t>
      </w:r>
    </w:p>
    <w:p w14:paraId="4CE46FB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p>
    <w:p w14:paraId="285BF40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5</w:t>
      </w:r>
      <w:r>
        <w:rPr>
          <w:rFonts w:hint="default" w:ascii="Times New Roman" w:hAnsi="Times New Roman" w:eastAsia="仿宋_GB2312" w:cs="Times New Roman"/>
          <w:sz w:val="32"/>
          <w:szCs w:val="32"/>
          <w:highlight w:val="none"/>
          <w:lang w:eastAsia="zh-CN"/>
        </w:rPr>
        <w:t>）报告撰写与反馈</w:t>
      </w:r>
    </w:p>
    <w:p w14:paraId="34FE5D6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p>
    <w:p w14:paraId="500E7F7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6</w:t>
      </w:r>
      <w:r>
        <w:rPr>
          <w:rFonts w:hint="default" w:ascii="Times New Roman" w:hAnsi="Times New Roman" w:eastAsia="仿宋_GB2312" w:cs="Times New Roman"/>
          <w:sz w:val="32"/>
          <w:szCs w:val="32"/>
          <w:highlight w:val="none"/>
          <w:lang w:eastAsia="zh-CN"/>
        </w:rPr>
        <w:t>）后续跟踪与改进</w:t>
      </w:r>
    </w:p>
    <w:p w14:paraId="43C98CE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14:paraId="0401D23D">
      <w:pPr>
        <w:numPr>
          <w:ilvl w:val="0"/>
          <w:numId w:val="5"/>
        </w:numPr>
        <w:spacing w:line="560" w:lineRule="exact"/>
        <w:ind w:firstLine="640" w:firstLineChars="200"/>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综合评价情况及评价结论（附相关评分表）</w:t>
      </w:r>
    </w:p>
    <w:p w14:paraId="5FF5F380">
      <w:pPr>
        <w:pStyle w:val="9"/>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default" w:ascii="Times New Roman" w:hAnsi="Times New Roman" w:eastAsia="楷体_GB2312" w:cs="Times New Roman"/>
          <w:highlight w:val="none"/>
          <w:lang w:val="en-US" w:eastAsia="zh-CN"/>
        </w:rPr>
      </w:pPr>
      <w:r>
        <w:rPr>
          <w:rFonts w:hint="default" w:ascii="Times New Roman" w:hAnsi="Times New Roman" w:eastAsia="楷体_GB2312" w:cs="Times New Roman"/>
          <w:highlight w:val="none"/>
          <w:lang w:eastAsia="zh-CN"/>
        </w:rPr>
        <w:t>（</w:t>
      </w:r>
      <w:r>
        <w:rPr>
          <w:rFonts w:hint="default" w:ascii="Times New Roman" w:hAnsi="Times New Roman" w:eastAsia="楷体_GB2312" w:cs="Times New Roman"/>
          <w:highlight w:val="none"/>
          <w:lang w:val="en-US" w:eastAsia="zh-CN"/>
        </w:rPr>
        <w:t>一</w:t>
      </w:r>
      <w:r>
        <w:rPr>
          <w:rFonts w:hint="default" w:ascii="Times New Roman" w:hAnsi="Times New Roman" w:eastAsia="楷体_GB2312" w:cs="Times New Roman"/>
          <w:highlight w:val="none"/>
          <w:lang w:eastAsia="zh-CN"/>
        </w:rPr>
        <w:t>）</w:t>
      </w:r>
      <w:r>
        <w:rPr>
          <w:rFonts w:hint="default" w:ascii="Times New Roman" w:hAnsi="Times New Roman" w:eastAsia="楷体_GB2312" w:cs="Times New Roman"/>
          <w:highlight w:val="none"/>
          <w:lang w:val="en-US" w:eastAsia="zh-CN"/>
        </w:rPr>
        <w:t>评价情况</w:t>
      </w:r>
    </w:p>
    <w:p w14:paraId="7FDC29C2">
      <w:pPr>
        <w:pStyle w:val="8"/>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本项目的综合评价基于对项目各方面绩效的深入分析与评估。从项目目标的达成情况来看，</w:t>
      </w:r>
      <w:r>
        <w:rPr>
          <w:rFonts w:hint="eastAsia" w:eastAsia="仿宋_GB2312" w:cs="Times New Roman"/>
          <w:sz w:val="32"/>
          <w:szCs w:val="32"/>
          <w:highlight w:val="none"/>
          <w:lang w:val="en-US" w:eastAsia="zh-CN"/>
        </w:rPr>
        <w:t>五个好标准化规范化党支部“进位之星”经费项目</w:t>
      </w:r>
      <w:r>
        <w:rPr>
          <w:rFonts w:hint="default" w:ascii="Times New Roman" w:hAnsi="Times New Roman" w:eastAsia="仿宋_GB2312" w:cs="Times New Roman"/>
          <w:sz w:val="32"/>
          <w:szCs w:val="32"/>
          <w:highlight w:val="none"/>
        </w:rPr>
        <w:t>在</w:t>
      </w:r>
      <w:r>
        <w:rPr>
          <w:rFonts w:hint="eastAsia" w:eastAsia="仿宋_GB2312" w:cs="Times New Roman"/>
          <w:sz w:val="32"/>
          <w:szCs w:val="32"/>
          <w:highlight w:val="none"/>
          <w:lang w:val="en-US" w:eastAsia="zh-CN"/>
        </w:rPr>
        <w:t>地区“五个好”标准化规范化党支部经费补助、地区“五个好”标准化规范化“进位之星”经费补助</w:t>
      </w:r>
      <w:r>
        <w:rPr>
          <w:rFonts w:hint="default" w:ascii="Times New Roman" w:hAnsi="Times New Roman" w:eastAsia="仿宋_GB2312" w:cs="Times New Roman"/>
          <w:sz w:val="32"/>
          <w:szCs w:val="32"/>
          <w:highlight w:val="none"/>
        </w:rPr>
        <w:t>等方面表现出色，达到了预期的标准与要求。</w:t>
      </w:r>
    </w:p>
    <w:p w14:paraId="392B92E7">
      <w:pPr>
        <w:pStyle w:val="8"/>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在项目管理方面，</w:t>
      </w:r>
      <w:r>
        <w:rPr>
          <w:rFonts w:hint="eastAsia" w:eastAsia="仿宋_GB2312" w:cs="Times New Roman"/>
          <w:sz w:val="32"/>
          <w:szCs w:val="32"/>
          <w:highlight w:val="none"/>
          <w:lang w:val="en-US" w:eastAsia="zh-CN"/>
        </w:rPr>
        <w:t>中共托里县委组织部</w:t>
      </w:r>
      <w:r>
        <w:rPr>
          <w:rFonts w:hint="default" w:ascii="Times New Roman" w:hAnsi="Times New Roman" w:eastAsia="仿宋_GB2312" w:cs="Times New Roman"/>
          <w:sz w:val="32"/>
          <w:szCs w:val="32"/>
          <w:highlight w:val="none"/>
        </w:rPr>
        <w:t>通过有效的规划、组织与协调，项目得以顺利实施，并在预算与时间上保持了良好的控制。</w:t>
      </w:r>
    </w:p>
    <w:p w14:paraId="4356B36D">
      <w:pPr>
        <w:pStyle w:val="8"/>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从项目效益的角度来看，本项目不仅实现了预期的社会效益方面产生了积极的影响。具体而言</w:t>
      </w:r>
      <w:r>
        <w:rPr>
          <w:rFonts w:hint="eastAsia" w:eastAsia="仿宋_GB2312" w:cs="Times New Roman"/>
          <w:sz w:val="32"/>
          <w:szCs w:val="32"/>
          <w:highlight w:val="none"/>
          <w:lang w:val="en-US" w:eastAsia="zh-CN"/>
        </w:rPr>
        <w:t>提升基层堡垒作用</w:t>
      </w:r>
      <w:r>
        <w:rPr>
          <w:rFonts w:hint="default" w:ascii="Times New Roman" w:hAnsi="Times New Roman" w:eastAsia="仿宋_GB2312" w:cs="Times New Roman"/>
          <w:sz w:val="32"/>
          <w:szCs w:val="32"/>
          <w:highlight w:val="none"/>
        </w:rPr>
        <w:t>方面的提升，为项目的利益相关者带来了实实在在的利益。</w:t>
      </w:r>
    </w:p>
    <w:p w14:paraId="0946D8B1">
      <w:pPr>
        <w:pStyle w:val="8"/>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cs="Times New Roman"/>
          <w:highlight w:val="none"/>
        </w:rPr>
      </w:pPr>
      <w:r>
        <w:rPr>
          <w:rFonts w:hint="default" w:ascii="Times New Roman" w:hAnsi="Times New Roman" w:eastAsia="仿宋_GB2312" w:cs="Times New Roman"/>
          <w:sz w:val="32"/>
          <w:szCs w:val="32"/>
          <w:highlight w:val="none"/>
        </w:rPr>
        <w:t>综上所述，</w:t>
      </w:r>
      <w:r>
        <w:rPr>
          <w:rFonts w:hint="eastAsia" w:eastAsia="仿宋_GB2312" w:cs="Times New Roman"/>
          <w:sz w:val="32"/>
          <w:szCs w:val="32"/>
          <w:highlight w:val="none"/>
          <w:lang w:val="en-US" w:eastAsia="zh-CN"/>
        </w:rPr>
        <w:t>五个好标准化规范化党支部“进位之星”经费</w:t>
      </w:r>
      <w:r>
        <w:rPr>
          <w:rFonts w:hint="default" w:ascii="Times New Roman" w:hAnsi="Times New Roman" w:eastAsia="仿宋_GB2312" w:cs="Times New Roman"/>
          <w:sz w:val="32"/>
          <w:szCs w:val="32"/>
          <w:highlight w:val="none"/>
        </w:rPr>
        <w:t>在绩效评价中表现出色，达到了项目的预期目标，并在多个方面取得了显著的成效。</w:t>
      </w:r>
    </w:p>
    <w:p w14:paraId="4B7F8428">
      <w:pPr>
        <w:pStyle w:val="9"/>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default" w:ascii="Times New Roman" w:hAnsi="Times New Roman" w:eastAsia="楷体_GB2312" w:cs="Times New Roman"/>
          <w:highlight w:val="none"/>
          <w:lang w:val="en-US" w:eastAsia="zh-CN"/>
        </w:rPr>
      </w:pPr>
      <w:r>
        <w:rPr>
          <w:rFonts w:hint="default" w:ascii="Times New Roman" w:hAnsi="Times New Roman" w:eastAsia="楷体_GB2312" w:cs="Times New Roman"/>
          <w:highlight w:val="none"/>
          <w:lang w:eastAsia="zh-CN"/>
        </w:rPr>
        <w:t>（</w:t>
      </w:r>
      <w:r>
        <w:rPr>
          <w:rFonts w:hint="default" w:ascii="Times New Roman" w:hAnsi="Times New Roman" w:eastAsia="楷体_GB2312" w:cs="Times New Roman"/>
          <w:highlight w:val="none"/>
          <w:lang w:val="en-US" w:eastAsia="zh-CN"/>
        </w:rPr>
        <w:t>二</w:t>
      </w:r>
      <w:r>
        <w:rPr>
          <w:rFonts w:hint="default" w:ascii="Times New Roman" w:hAnsi="Times New Roman" w:eastAsia="楷体_GB2312" w:cs="Times New Roman"/>
          <w:highlight w:val="none"/>
          <w:lang w:eastAsia="zh-CN"/>
        </w:rPr>
        <w:t>）</w:t>
      </w:r>
      <w:r>
        <w:rPr>
          <w:rFonts w:hint="default" w:ascii="Times New Roman" w:hAnsi="Times New Roman" w:eastAsia="楷体_GB2312" w:cs="Times New Roman"/>
          <w:highlight w:val="none"/>
          <w:lang w:val="en-US" w:eastAsia="zh-CN"/>
        </w:rPr>
        <w:t>评价结论</w:t>
      </w:r>
    </w:p>
    <w:p w14:paraId="060FD332">
      <w:pPr>
        <w:pStyle w:val="9"/>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 xml:space="preserve">运用绩效评价组制定的评价指标体系以及财政部《项目支出绩效评价管理办法》（财预〔2020〕10号）文件的评分标准，通过数据采集、问卷调查及访谈等方式，对本项目进行客观评价，最终评分结果：总得分为 </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 xml:space="preserve">分，属于“优”。其中，项目决策类指标权重为20分，得分为 </w:t>
      </w:r>
      <w:r>
        <w:rPr>
          <w:rFonts w:hint="eastAsia" w:ascii="Times New Roman" w:hAnsi="Times New Roman" w:eastAsia="仿宋_GB2312" w:cs="Times New Roman"/>
          <w:b w:val="0"/>
          <w:bCs w:val="0"/>
          <w:highlight w:val="none"/>
          <w:lang w:val="en-US" w:eastAsia="zh-CN"/>
        </w:rPr>
        <w:t>20</w:t>
      </w:r>
      <w:r>
        <w:rPr>
          <w:rFonts w:hint="default" w:ascii="Times New Roman" w:hAnsi="Times New Roman" w:eastAsia="仿宋_GB2312" w:cs="Times New Roman"/>
          <w:b w:val="0"/>
          <w:bCs w:val="0"/>
          <w:highlight w:val="none"/>
        </w:rPr>
        <w:t xml:space="preserve">分，得分率为 </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%。项目过程类指标权重为20分，得分为</w:t>
      </w:r>
      <w:r>
        <w:rPr>
          <w:rFonts w:hint="eastAsia" w:ascii="Times New Roman" w:hAnsi="Times New Roman" w:eastAsia="仿宋_GB2312" w:cs="Times New Roman"/>
          <w:b w:val="0"/>
          <w:bCs w:val="0"/>
          <w:highlight w:val="none"/>
          <w:lang w:val="en-US" w:eastAsia="zh-CN"/>
        </w:rPr>
        <w:t>20</w:t>
      </w:r>
      <w:r>
        <w:rPr>
          <w:rFonts w:hint="default" w:ascii="Times New Roman" w:hAnsi="Times New Roman" w:eastAsia="仿宋_GB2312" w:cs="Times New Roman"/>
          <w:b w:val="0"/>
          <w:bCs w:val="0"/>
          <w:highlight w:val="none"/>
        </w:rPr>
        <w:t xml:space="preserve">分，得分率为 </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%。项目产出类指标权重为40分，得分为</w:t>
      </w:r>
      <w:r>
        <w:rPr>
          <w:rFonts w:hint="eastAsia" w:ascii="Times New Roman" w:hAnsi="Times New Roman" w:eastAsia="仿宋_GB2312" w:cs="Times New Roman"/>
          <w:b w:val="0"/>
          <w:bCs w:val="0"/>
          <w:highlight w:val="none"/>
          <w:lang w:val="en-US" w:eastAsia="zh-CN"/>
        </w:rPr>
        <w:t>40</w:t>
      </w:r>
      <w:r>
        <w:rPr>
          <w:rFonts w:hint="default" w:ascii="Times New Roman" w:hAnsi="Times New Roman" w:eastAsia="仿宋_GB2312" w:cs="Times New Roman"/>
          <w:b w:val="0"/>
          <w:bCs w:val="0"/>
          <w:highlight w:val="none"/>
        </w:rPr>
        <w:t xml:space="preserve">分，得分率为 </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%。项目效益类指标权重为20分，得分为</w:t>
      </w:r>
      <w:r>
        <w:rPr>
          <w:rFonts w:hint="eastAsia" w:ascii="Times New Roman" w:hAnsi="Times New Roman" w:eastAsia="仿宋_GB2312" w:cs="Times New Roman"/>
          <w:b w:val="0"/>
          <w:bCs w:val="0"/>
          <w:highlight w:val="none"/>
          <w:lang w:val="en-US" w:eastAsia="zh-CN"/>
        </w:rPr>
        <w:t>20</w:t>
      </w:r>
      <w:r>
        <w:rPr>
          <w:rFonts w:hint="default" w:ascii="Times New Roman" w:hAnsi="Times New Roman" w:eastAsia="仿宋_GB2312" w:cs="Times New Roman"/>
          <w:b w:val="0"/>
          <w:bCs w:val="0"/>
          <w:highlight w:val="none"/>
        </w:rPr>
        <w:t>分，得分率为</w:t>
      </w:r>
      <w:r>
        <w:rPr>
          <w:rFonts w:hint="eastAsia" w:ascii="Times New Roman" w:hAnsi="Times New Roman" w:eastAsia="仿宋_GB2312" w:cs="Times New Roman"/>
          <w:b w:val="0"/>
          <w:bCs w:val="0"/>
          <w:highlight w:val="none"/>
          <w:lang w:val="en-US" w:eastAsia="zh-CN"/>
        </w:rPr>
        <w:t>100</w:t>
      </w:r>
      <w:r>
        <w:rPr>
          <w:rFonts w:hint="default" w:ascii="Times New Roman" w:hAnsi="Times New Roman" w:eastAsia="仿宋_GB2312" w:cs="Times New Roman"/>
          <w:b w:val="0"/>
          <w:bCs w:val="0"/>
          <w:highlight w:val="none"/>
        </w:rPr>
        <w:t>%。具体打分情况详见：附件1综合评分表</w:t>
      </w:r>
      <w:r>
        <w:rPr>
          <w:rFonts w:hint="default" w:ascii="Times New Roman" w:hAnsi="Times New Roman" w:eastAsia="仿宋_GB2312" w:cs="Times New Roman"/>
          <w:b w:val="0"/>
          <w:bCs w:val="0"/>
          <w:highlight w:val="none"/>
          <w:lang w:eastAsia="zh-CN"/>
        </w:rPr>
        <w:t>。</w:t>
      </w:r>
    </w:p>
    <w:p w14:paraId="35143FD6">
      <w:pPr>
        <w:pStyle w:val="9"/>
        <w:keepNext w:val="0"/>
        <w:keepLines w:val="0"/>
        <w:pageBreakBefore w:val="0"/>
        <w:widowControl/>
        <w:kinsoku/>
        <w:wordWrap/>
        <w:overflowPunct/>
        <w:topLinePunct w:val="0"/>
        <w:autoSpaceDE/>
        <w:autoSpaceDN/>
        <w:bidi w:val="0"/>
        <w:adjustRightInd/>
        <w:snapToGrid/>
        <w:spacing w:before="0" w:after="0"/>
        <w:textAlignment w:val="auto"/>
        <w:rPr>
          <w:rFonts w:hint="default" w:ascii="Times New Roman" w:hAnsi="Times New Roman" w:eastAsia="仿宋_GB2312" w:cs="Times New Roman"/>
          <w:sz w:val="21"/>
          <w:szCs w:val="21"/>
          <w:highlight w:val="none"/>
        </w:rPr>
      </w:pPr>
      <w:r>
        <w:rPr>
          <w:rFonts w:hint="default" w:ascii="Times New Roman" w:hAnsi="Times New Roman" w:eastAsia="仿宋_GB2312" w:cs="Times New Roman"/>
          <w:sz w:val="21"/>
          <w:szCs w:val="21"/>
          <w:highlight w:val="none"/>
        </w:rPr>
        <w:t>表1综合评分表</w:t>
      </w:r>
    </w:p>
    <w:tbl>
      <w:tblPr>
        <w:tblStyle w:val="12"/>
        <w:tblW w:w="4998" w:type="pct"/>
        <w:jc w:val="center"/>
        <w:tblLayout w:type="autofit"/>
        <w:tblCellMar>
          <w:top w:w="0" w:type="dxa"/>
          <w:left w:w="108" w:type="dxa"/>
          <w:bottom w:w="0" w:type="dxa"/>
          <w:right w:w="108" w:type="dxa"/>
        </w:tblCellMar>
      </w:tblPr>
      <w:tblGrid>
        <w:gridCol w:w="2787"/>
        <w:gridCol w:w="1927"/>
        <w:gridCol w:w="2023"/>
        <w:gridCol w:w="2023"/>
      </w:tblGrid>
      <w:tr w14:paraId="56E38858">
        <w:tblPrEx>
          <w:tblCellMar>
            <w:top w:w="0" w:type="dxa"/>
            <w:left w:w="108" w:type="dxa"/>
            <w:bottom w:w="0" w:type="dxa"/>
            <w:right w:w="108" w:type="dxa"/>
          </w:tblCellMar>
        </w:tblPrEx>
        <w:trPr>
          <w:trHeight w:val="90" w:hRule="atLeast"/>
          <w:tblHeader/>
          <w:jc w:val="center"/>
        </w:trPr>
        <w:tc>
          <w:tcPr>
            <w:tcW w:w="1590" w:type="pct"/>
            <w:tcBorders>
              <w:top w:val="single" w:color="auto" w:sz="4" w:space="0"/>
              <w:left w:val="single" w:color="auto" w:sz="4" w:space="0"/>
              <w:bottom w:val="single" w:color="auto" w:sz="4" w:space="0"/>
              <w:right w:val="single" w:color="auto" w:sz="4" w:space="0"/>
            </w:tcBorders>
            <w:shd w:val="clear" w:color="000000" w:fill="BEBEBE"/>
            <w:vAlign w:val="center"/>
          </w:tcPr>
          <w:p w14:paraId="0AD09317">
            <w:pPr>
              <w:jc w:val="center"/>
              <w:rPr>
                <w:rFonts w:hint="default" w:ascii="Times New Roman" w:hAnsi="Times New Roman" w:eastAsia="仿宋_GB2312" w:cs="Times New Roman"/>
                <w:b/>
                <w:bCs/>
                <w:color w:val="000000"/>
                <w:sz w:val="21"/>
                <w:szCs w:val="21"/>
                <w:highlight w:val="none"/>
              </w:rPr>
            </w:pPr>
            <w:r>
              <w:rPr>
                <w:rFonts w:hint="default" w:ascii="Times New Roman" w:hAnsi="Times New Roman" w:eastAsia="仿宋_GB2312" w:cs="Times New Roman"/>
                <w:b/>
                <w:bCs/>
                <w:color w:val="000000"/>
                <w:sz w:val="21"/>
                <w:szCs w:val="21"/>
                <w:highlight w:val="none"/>
              </w:rPr>
              <w:t>一级指标</w:t>
            </w:r>
          </w:p>
        </w:tc>
        <w:tc>
          <w:tcPr>
            <w:tcW w:w="1099" w:type="pct"/>
            <w:tcBorders>
              <w:top w:val="single" w:color="auto" w:sz="4" w:space="0"/>
              <w:left w:val="nil"/>
              <w:bottom w:val="single" w:color="auto" w:sz="4" w:space="0"/>
              <w:right w:val="single" w:color="auto" w:sz="4" w:space="0"/>
            </w:tcBorders>
            <w:shd w:val="clear" w:color="000000" w:fill="BEBEBE"/>
            <w:vAlign w:val="center"/>
          </w:tcPr>
          <w:p w14:paraId="6ED69EBC">
            <w:pPr>
              <w:jc w:val="center"/>
              <w:rPr>
                <w:rFonts w:hint="default" w:ascii="Times New Roman" w:hAnsi="Times New Roman" w:eastAsia="仿宋_GB2312" w:cs="Times New Roman"/>
                <w:b/>
                <w:bCs/>
                <w:color w:val="000000"/>
                <w:sz w:val="21"/>
                <w:szCs w:val="21"/>
                <w:highlight w:val="none"/>
              </w:rPr>
            </w:pPr>
            <w:r>
              <w:rPr>
                <w:rFonts w:hint="default" w:ascii="Times New Roman" w:hAnsi="Times New Roman" w:eastAsia="仿宋_GB2312" w:cs="Times New Roman"/>
                <w:b/>
                <w:bCs/>
                <w:color w:val="000000"/>
                <w:sz w:val="21"/>
                <w:szCs w:val="21"/>
                <w:highlight w:val="none"/>
              </w:rPr>
              <w:t>权重分</w:t>
            </w:r>
          </w:p>
        </w:tc>
        <w:tc>
          <w:tcPr>
            <w:tcW w:w="1154" w:type="pct"/>
            <w:tcBorders>
              <w:top w:val="single" w:color="auto" w:sz="4" w:space="0"/>
              <w:left w:val="nil"/>
              <w:bottom w:val="single" w:color="auto" w:sz="4" w:space="0"/>
              <w:right w:val="single" w:color="auto" w:sz="4" w:space="0"/>
            </w:tcBorders>
            <w:shd w:val="clear" w:color="000000" w:fill="BEBEBE"/>
            <w:vAlign w:val="center"/>
          </w:tcPr>
          <w:p w14:paraId="2D33B29F">
            <w:pPr>
              <w:jc w:val="center"/>
              <w:rPr>
                <w:rFonts w:hint="default" w:ascii="Times New Roman" w:hAnsi="Times New Roman" w:eastAsia="仿宋_GB2312" w:cs="Times New Roman"/>
                <w:b/>
                <w:bCs/>
                <w:color w:val="000000"/>
                <w:sz w:val="21"/>
                <w:szCs w:val="21"/>
                <w:highlight w:val="none"/>
              </w:rPr>
            </w:pPr>
            <w:r>
              <w:rPr>
                <w:rFonts w:hint="default" w:ascii="Times New Roman" w:hAnsi="Times New Roman" w:eastAsia="仿宋_GB2312" w:cs="Times New Roman"/>
                <w:b/>
                <w:bCs/>
                <w:color w:val="000000"/>
                <w:sz w:val="21"/>
                <w:szCs w:val="21"/>
                <w:highlight w:val="none"/>
              </w:rPr>
              <w:t>得分</w:t>
            </w:r>
          </w:p>
        </w:tc>
        <w:tc>
          <w:tcPr>
            <w:tcW w:w="1154" w:type="pct"/>
            <w:tcBorders>
              <w:top w:val="single" w:color="auto" w:sz="4" w:space="0"/>
              <w:left w:val="nil"/>
              <w:bottom w:val="single" w:color="auto" w:sz="4" w:space="0"/>
              <w:right w:val="single" w:color="auto" w:sz="4" w:space="0"/>
            </w:tcBorders>
            <w:shd w:val="clear" w:color="000000" w:fill="BEBEBE"/>
            <w:vAlign w:val="center"/>
          </w:tcPr>
          <w:p w14:paraId="6267531D">
            <w:pPr>
              <w:jc w:val="center"/>
              <w:rPr>
                <w:rFonts w:hint="eastAsia" w:ascii="Times New Roman" w:hAnsi="Times New Roman" w:eastAsia="仿宋_GB2312" w:cs="Times New Roman"/>
                <w:b/>
                <w:bCs/>
                <w:color w:val="000000"/>
                <w:sz w:val="21"/>
                <w:szCs w:val="21"/>
                <w:highlight w:val="none"/>
                <w:lang w:val="en-US" w:eastAsia="zh-CN"/>
              </w:rPr>
            </w:pPr>
            <w:r>
              <w:rPr>
                <w:rFonts w:hint="eastAsia" w:eastAsia="仿宋_GB2312" w:cs="Times New Roman"/>
                <w:b/>
                <w:bCs/>
                <w:color w:val="000000"/>
                <w:sz w:val="21"/>
                <w:szCs w:val="21"/>
                <w:highlight w:val="none"/>
                <w:lang w:val="en-US" w:eastAsia="zh-CN"/>
              </w:rPr>
              <w:t>得分率</w:t>
            </w:r>
          </w:p>
        </w:tc>
      </w:tr>
      <w:tr w14:paraId="2EC63097">
        <w:tblPrEx>
          <w:tblCellMar>
            <w:top w:w="0" w:type="dxa"/>
            <w:left w:w="108" w:type="dxa"/>
            <w:bottom w:w="0" w:type="dxa"/>
            <w:right w:w="108" w:type="dxa"/>
          </w:tblCellMar>
        </w:tblPrEx>
        <w:trPr>
          <w:trHeight w:val="340" w:hRule="atLeast"/>
          <w:jc w:val="center"/>
        </w:trPr>
        <w:tc>
          <w:tcPr>
            <w:tcW w:w="1590" w:type="pct"/>
            <w:tcBorders>
              <w:top w:val="nil"/>
              <w:left w:val="single" w:color="auto" w:sz="4" w:space="0"/>
              <w:bottom w:val="single" w:color="auto" w:sz="4" w:space="0"/>
              <w:right w:val="single" w:color="auto" w:sz="4" w:space="0"/>
            </w:tcBorders>
            <w:shd w:val="clear" w:color="auto" w:fill="auto"/>
            <w:vAlign w:val="center"/>
          </w:tcPr>
          <w:p w14:paraId="68448429">
            <w:pPr>
              <w:jc w:val="center"/>
              <w:rPr>
                <w:rFonts w:hint="default" w:ascii="Times New Roman" w:hAnsi="Times New Roman" w:eastAsia="仿宋_GB2312" w:cs="Times New Roman"/>
                <w:color w:val="000000"/>
                <w:sz w:val="21"/>
                <w:szCs w:val="21"/>
                <w:highlight w:val="none"/>
              </w:rPr>
            </w:pPr>
            <w:r>
              <w:rPr>
                <w:rFonts w:hint="default" w:ascii="Times New Roman" w:hAnsi="Times New Roman" w:eastAsia="仿宋_GB2312" w:cs="Times New Roman"/>
                <w:color w:val="000000"/>
                <w:sz w:val="21"/>
                <w:szCs w:val="21"/>
                <w:highlight w:val="none"/>
              </w:rPr>
              <w:t>项目决策</w:t>
            </w:r>
          </w:p>
        </w:tc>
        <w:tc>
          <w:tcPr>
            <w:tcW w:w="1099" w:type="pct"/>
            <w:tcBorders>
              <w:top w:val="nil"/>
              <w:left w:val="nil"/>
              <w:bottom w:val="single" w:color="auto" w:sz="4" w:space="0"/>
              <w:right w:val="single" w:color="auto" w:sz="4" w:space="0"/>
            </w:tcBorders>
            <w:shd w:val="clear" w:color="auto" w:fill="auto"/>
            <w:vAlign w:val="center"/>
          </w:tcPr>
          <w:p w14:paraId="7858427E">
            <w:pPr>
              <w:jc w:val="center"/>
              <w:rPr>
                <w:rFonts w:hint="default" w:ascii="Times New Roman" w:hAnsi="Times New Roman" w:eastAsia="仿宋_GB2312" w:cs="Times New Roman"/>
                <w:color w:val="000000"/>
                <w:sz w:val="21"/>
                <w:szCs w:val="21"/>
                <w:highlight w:val="none"/>
                <w:lang w:val="en-US" w:eastAsia="zh-CN"/>
              </w:rPr>
            </w:pPr>
            <w:r>
              <w:rPr>
                <w:rFonts w:hint="default" w:ascii="Times New Roman" w:hAnsi="Times New Roman" w:eastAsia="仿宋_GB2312" w:cs="Times New Roman"/>
                <w:color w:val="000000"/>
                <w:sz w:val="21"/>
                <w:szCs w:val="21"/>
                <w:highlight w:val="none"/>
                <w:lang w:val="en-US" w:eastAsia="zh-CN"/>
              </w:rPr>
              <w:t>20</w:t>
            </w:r>
          </w:p>
        </w:tc>
        <w:tc>
          <w:tcPr>
            <w:tcW w:w="1154" w:type="pct"/>
            <w:tcBorders>
              <w:top w:val="nil"/>
              <w:left w:val="nil"/>
              <w:bottom w:val="single" w:color="auto" w:sz="4" w:space="0"/>
              <w:right w:val="single" w:color="auto" w:sz="4" w:space="0"/>
            </w:tcBorders>
            <w:shd w:val="clear" w:color="auto" w:fill="auto"/>
            <w:vAlign w:val="center"/>
          </w:tcPr>
          <w:p w14:paraId="165FC663">
            <w:pPr>
              <w:jc w:val="center"/>
              <w:rPr>
                <w:rFonts w:hint="default" w:ascii="Times New Roman" w:hAnsi="Times New Roman" w:eastAsia="仿宋_GB2312" w:cs="Times New Roman"/>
                <w:color w:val="000000"/>
                <w:sz w:val="21"/>
                <w:szCs w:val="21"/>
                <w:highlight w:val="none"/>
                <w:lang w:val="en-US" w:eastAsia="zh-CN"/>
              </w:rPr>
            </w:pPr>
            <w:r>
              <w:rPr>
                <w:rFonts w:hint="eastAsia" w:eastAsia="仿宋_GB2312" w:cs="Times New Roman"/>
                <w:color w:val="000000"/>
                <w:sz w:val="21"/>
                <w:szCs w:val="21"/>
                <w:highlight w:val="none"/>
                <w:lang w:val="en-US" w:eastAsia="zh-CN"/>
              </w:rPr>
              <w:t>20</w:t>
            </w:r>
          </w:p>
        </w:tc>
        <w:tc>
          <w:tcPr>
            <w:tcW w:w="1154" w:type="pct"/>
            <w:tcBorders>
              <w:top w:val="nil"/>
              <w:left w:val="nil"/>
              <w:bottom w:val="single" w:color="auto" w:sz="4" w:space="0"/>
              <w:right w:val="single" w:color="auto" w:sz="4" w:space="0"/>
            </w:tcBorders>
            <w:shd w:val="clear" w:color="auto" w:fill="auto"/>
            <w:vAlign w:val="center"/>
          </w:tcPr>
          <w:p w14:paraId="6F755DB9">
            <w:pPr>
              <w:jc w:val="center"/>
              <w:rPr>
                <w:rFonts w:hint="default" w:ascii="Times New Roman" w:hAnsi="Times New Roman" w:eastAsia="仿宋_GB2312" w:cs="Times New Roman"/>
                <w:color w:val="000000"/>
                <w:sz w:val="21"/>
                <w:szCs w:val="21"/>
                <w:highlight w:val="none"/>
                <w:lang w:val="en-US" w:eastAsia="zh-CN"/>
              </w:rPr>
            </w:pPr>
            <w:r>
              <w:rPr>
                <w:rFonts w:hint="eastAsia" w:eastAsia="仿宋_GB2312" w:cs="Times New Roman"/>
                <w:color w:val="000000"/>
                <w:sz w:val="21"/>
                <w:szCs w:val="21"/>
                <w:highlight w:val="none"/>
                <w:lang w:val="en-US" w:eastAsia="zh-CN"/>
              </w:rPr>
              <w:t>100%</w:t>
            </w:r>
          </w:p>
        </w:tc>
      </w:tr>
      <w:tr w14:paraId="4F10115B">
        <w:tblPrEx>
          <w:tblCellMar>
            <w:top w:w="0" w:type="dxa"/>
            <w:left w:w="108" w:type="dxa"/>
            <w:bottom w:w="0" w:type="dxa"/>
            <w:right w:w="108" w:type="dxa"/>
          </w:tblCellMar>
        </w:tblPrEx>
        <w:trPr>
          <w:trHeight w:val="340" w:hRule="atLeast"/>
          <w:jc w:val="center"/>
        </w:trPr>
        <w:tc>
          <w:tcPr>
            <w:tcW w:w="1590" w:type="pct"/>
            <w:tcBorders>
              <w:top w:val="nil"/>
              <w:left w:val="single" w:color="auto" w:sz="4" w:space="0"/>
              <w:bottom w:val="single" w:color="auto" w:sz="4" w:space="0"/>
              <w:right w:val="single" w:color="auto" w:sz="4" w:space="0"/>
            </w:tcBorders>
            <w:shd w:val="clear" w:color="auto" w:fill="auto"/>
            <w:vAlign w:val="center"/>
          </w:tcPr>
          <w:p w14:paraId="251F80DB">
            <w:pPr>
              <w:jc w:val="center"/>
              <w:rPr>
                <w:rFonts w:hint="default" w:ascii="Times New Roman" w:hAnsi="Times New Roman" w:eastAsia="仿宋_GB2312" w:cs="Times New Roman"/>
                <w:color w:val="000000"/>
                <w:sz w:val="21"/>
                <w:szCs w:val="21"/>
                <w:highlight w:val="none"/>
              </w:rPr>
            </w:pPr>
            <w:r>
              <w:rPr>
                <w:rFonts w:hint="default" w:ascii="Times New Roman" w:hAnsi="Times New Roman" w:eastAsia="仿宋_GB2312" w:cs="Times New Roman"/>
                <w:color w:val="000000"/>
                <w:sz w:val="21"/>
                <w:szCs w:val="21"/>
                <w:highlight w:val="none"/>
              </w:rPr>
              <w:t>项目过程</w:t>
            </w:r>
          </w:p>
        </w:tc>
        <w:tc>
          <w:tcPr>
            <w:tcW w:w="1099" w:type="pct"/>
            <w:tcBorders>
              <w:top w:val="nil"/>
              <w:left w:val="nil"/>
              <w:bottom w:val="single" w:color="auto" w:sz="4" w:space="0"/>
              <w:right w:val="single" w:color="auto" w:sz="4" w:space="0"/>
            </w:tcBorders>
            <w:shd w:val="clear" w:color="auto" w:fill="auto"/>
            <w:vAlign w:val="center"/>
          </w:tcPr>
          <w:p w14:paraId="44E33DA4">
            <w:pPr>
              <w:jc w:val="center"/>
              <w:rPr>
                <w:rFonts w:hint="default" w:ascii="Times New Roman" w:hAnsi="Times New Roman" w:eastAsia="仿宋_GB2312" w:cs="Times New Roman"/>
                <w:color w:val="000000"/>
                <w:sz w:val="21"/>
                <w:szCs w:val="21"/>
                <w:highlight w:val="none"/>
                <w:lang w:val="en-US" w:eastAsia="zh-CN"/>
              </w:rPr>
            </w:pPr>
            <w:r>
              <w:rPr>
                <w:rFonts w:hint="default" w:ascii="Times New Roman" w:hAnsi="Times New Roman" w:eastAsia="仿宋_GB2312" w:cs="Times New Roman"/>
                <w:color w:val="000000"/>
                <w:sz w:val="21"/>
                <w:szCs w:val="21"/>
                <w:highlight w:val="none"/>
                <w:lang w:val="en-US" w:eastAsia="zh-CN"/>
              </w:rPr>
              <w:t>20</w:t>
            </w:r>
          </w:p>
        </w:tc>
        <w:tc>
          <w:tcPr>
            <w:tcW w:w="1154" w:type="pct"/>
            <w:tcBorders>
              <w:top w:val="nil"/>
              <w:left w:val="nil"/>
              <w:bottom w:val="single" w:color="auto" w:sz="4" w:space="0"/>
              <w:right w:val="single" w:color="auto" w:sz="4" w:space="0"/>
            </w:tcBorders>
            <w:shd w:val="clear" w:color="auto" w:fill="auto"/>
            <w:vAlign w:val="center"/>
          </w:tcPr>
          <w:p w14:paraId="762D13BC">
            <w:pPr>
              <w:jc w:val="center"/>
              <w:rPr>
                <w:rFonts w:hint="default" w:ascii="Times New Roman" w:hAnsi="Times New Roman" w:eastAsia="仿宋_GB2312" w:cs="Times New Roman"/>
                <w:color w:val="000000"/>
                <w:sz w:val="21"/>
                <w:szCs w:val="21"/>
                <w:highlight w:val="none"/>
                <w:lang w:val="en-US" w:eastAsia="zh-CN"/>
              </w:rPr>
            </w:pPr>
            <w:r>
              <w:rPr>
                <w:rFonts w:hint="eastAsia" w:eastAsia="仿宋_GB2312" w:cs="Times New Roman"/>
                <w:color w:val="000000"/>
                <w:sz w:val="21"/>
                <w:szCs w:val="21"/>
                <w:highlight w:val="none"/>
                <w:lang w:val="en-US" w:eastAsia="zh-CN"/>
              </w:rPr>
              <w:t>20</w:t>
            </w:r>
          </w:p>
        </w:tc>
        <w:tc>
          <w:tcPr>
            <w:tcW w:w="1154" w:type="pct"/>
            <w:tcBorders>
              <w:top w:val="nil"/>
              <w:left w:val="nil"/>
              <w:bottom w:val="single" w:color="auto" w:sz="4" w:space="0"/>
              <w:right w:val="single" w:color="auto" w:sz="4" w:space="0"/>
            </w:tcBorders>
            <w:shd w:val="clear" w:color="auto" w:fill="auto"/>
            <w:vAlign w:val="center"/>
          </w:tcPr>
          <w:p w14:paraId="52B7C382">
            <w:pPr>
              <w:jc w:val="center"/>
              <w:rPr>
                <w:rFonts w:hint="default" w:ascii="Times New Roman" w:hAnsi="Times New Roman" w:eastAsia="仿宋_GB2312" w:cs="Times New Roman"/>
                <w:color w:val="000000"/>
                <w:sz w:val="21"/>
                <w:szCs w:val="21"/>
                <w:highlight w:val="none"/>
              </w:rPr>
            </w:pPr>
            <w:r>
              <w:rPr>
                <w:rFonts w:hint="eastAsia" w:eastAsia="仿宋_GB2312" w:cs="Times New Roman"/>
                <w:color w:val="000000"/>
                <w:sz w:val="21"/>
                <w:szCs w:val="21"/>
                <w:highlight w:val="none"/>
                <w:lang w:val="en-US" w:eastAsia="zh-CN"/>
              </w:rPr>
              <w:t>100%</w:t>
            </w:r>
          </w:p>
        </w:tc>
      </w:tr>
      <w:tr w14:paraId="7AADEF3B">
        <w:tblPrEx>
          <w:tblCellMar>
            <w:top w:w="0" w:type="dxa"/>
            <w:left w:w="108" w:type="dxa"/>
            <w:bottom w:w="0" w:type="dxa"/>
            <w:right w:w="108" w:type="dxa"/>
          </w:tblCellMar>
        </w:tblPrEx>
        <w:trPr>
          <w:trHeight w:val="340" w:hRule="atLeast"/>
          <w:jc w:val="center"/>
        </w:trPr>
        <w:tc>
          <w:tcPr>
            <w:tcW w:w="1590" w:type="pct"/>
            <w:tcBorders>
              <w:top w:val="nil"/>
              <w:left w:val="single" w:color="auto" w:sz="4" w:space="0"/>
              <w:bottom w:val="single" w:color="auto" w:sz="4" w:space="0"/>
              <w:right w:val="single" w:color="auto" w:sz="4" w:space="0"/>
            </w:tcBorders>
            <w:shd w:val="clear" w:color="auto" w:fill="auto"/>
            <w:vAlign w:val="center"/>
          </w:tcPr>
          <w:p w14:paraId="0CEBFF64">
            <w:pPr>
              <w:jc w:val="center"/>
              <w:rPr>
                <w:rFonts w:hint="default" w:ascii="Times New Roman" w:hAnsi="Times New Roman" w:eastAsia="仿宋_GB2312" w:cs="Times New Roman"/>
                <w:color w:val="000000"/>
                <w:sz w:val="21"/>
                <w:szCs w:val="21"/>
                <w:highlight w:val="none"/>
              </w:rPr>
            </w:pPr>
            <w:r>
              <w:rPr>
                <w:rFonts w:hint="default" w:ascii="Times New Roman" w:hAnsi="Times New Roman" w:eastAsia="仿宋_GB2312" w:cs="Times New Roman"/>
                <w:color w:val="000000"/>
                <w:sz w:val="21"/>
                <w:szCs w:val="21"/>
                <w:highlight w:val="none"/>
              </w:rPr>
              <w:t>项目产出</w:t>
            </w:r>
          </w:p>
        </w:tc>
        <w:tc>
          <w:tcPr>
            <w:tcW w:w="1099" w:type="pct"/>
            <w:tcBorders>
              <w:top w:val="nil"/>
              <w:left w:val="nil"/>
              <w:bottom w:val="single" w:color="auto" w:sz="4" w:space="0"/>
              <w:right w:val="single" w:color="auto" w:sz="4" w:space="0"/>
            </w:tcBorders>
            <w:shd w:val="clear" w:color="auto" w:fill="auto"/>
            <w:vAlign w:val="center"/>
          </w:tcPr>
          <w:p w14:paraId="04D035C8">
            <w:pPr>
              <w:jc w:val="center"/>
              <w:rPr>
                <w:rFonts w:hint="default" w:ascii="Times New Roman" w:hAnsi="Times New Roman" w:eastAsia="仿宋_GB2312" w:cs="Times New Roman"/>
                <w:color w:val="000000"/>
                <w:sz w:val="21"/>
                <w:szCs w:val="21"/>
                <w:highlight w:val="none"/>
                <w:lang w:val="en-US" w:eastAsia="zh-CN"/>
              </w:rPr>
            </w:pPr>
            <w:r>
              <w:rPr>
                <w:rFonts w:hint="default" w:ascii="Times New Roman" w:hAnsi="Times New Roman" w:eastAsia="仿宋_GB2312" w:cs="Times New Roman"/>
                <w:color w:val="000000"/>
                <w:sz w:val="21"/>
                <w:szCs w:val="21"/>
                <w:highlight w:val="none"/>
                <w:lang w:val="en-US" w:eastAsia="zh-CN"/>
              </w:rPr>
              <w:t>40</w:t>
            </w:r>
          </w:p>
        </w:tc>
        <w:tc>
          <w:tcPr>
            <w:tcW w:w="1154" w:type="pct"/>
            <w:tcBorders>
              <w:top w:val="nil"/>
              <w:left w:val="nil"/>
              <w:bottom w:val="single" w:color="auto" w:sz="4" w:space="0"/>
              <w:right w:val="single" w:color="auto" w:sz="4" w:space="0"/>
            </w:tcBorders>
            <w:shd w:val="clear" w:color="auto" w:fill="auto"/>
            <w:vAlign w:val="center"/>
          </w:tcPr>
          <w:p w14:paraId="5200A09A">
            <w:pPr>
              <w:jc w:val="center"/>
              <w:rPr>
                <w:rFonts w:hint="default" w:ascii="Times New Roman" w:hAnsi="Times New Roman" w:eastAsia="仿宋_GB2312" w:cs="Times New Roman"/>
                <w:color w:val="000000"/>
                <w:sz w:val="21"/>
                <w:szCs w:val="21"/>
                <w:highlight w:val="none"/>
                <w:lang w:val="en-US" w:eastAsia="zh-CN"/>
              </w:rPr>
            </w:pPr>
            <w:r>
              <w:rPr>
                <w:rFonts w:hint="eastAsia" w:eastAsia="仿宋_GB2312" w:cs="Times New Roman"/>
                <w:color w:val="000000"/>
                <w:sz w:val="21"/>
                <w:szCs w:val="21"/>
                <w:highlight w:val="none"/>
                <w:lang w:val="en-US" w:eastAsia="zh-CN"/>
              </w:rPr>
              <w:t>40</w:t>
            </w:r>
          </w:p>
        </w:tc>
        <w:tc>
          <w:tcPr>
            <w:tcW w:w="1154" w:type="pct"/>
            <w:tcBorders>
              <w:top w:val="nil"/>
              <w:left w:val="nil"/>
              <w:bottom w:val="single" w:color="auto" w:sz="4" w:space="0"/>
              <w:right w:val="single" w:color="auto" w:sz="4" w:space="0"/>
            </w:tcBorders>
            <w:shd w:val="clear" w:color="auto" w:fill="auto"/>
            <w:vAlign w:val="center"/>
          </w:tcPr>
          <w:p w14:paraId="2B490DCD">
            <w:pPr>
              <w:jc w:val="center"/>
              <w:rPr>
                <w:rFonts w:hint="default" w:ascii="Times New Roman" w:hAnsi="Times New Roman" w:eastAsia="仿宋_GB2312" w:cs="Times New Roman"/>
                <w:color w:val="000000"/>
                <w:sz w:val="21"/>
                <w:szCs w:val="21"/>
                <w:highlight w:val="none"/>
              </w:rPr>
            </w:pPr>
            <w:r>
              <w:rPr>
                <w:rFonts w:hint="eastAsia" w:eastAsia="仿宋_GB2312" w:cs="Times New Roman"/>
                <w:color w:val="000000"/>
                <w:sz w:val="21"/>
                <w:szCs w:val="21"/>
                <w:highlight w:val="none"/>
                <w:lang w:val="en-US" w:eastAsia="zh-CN"/>
              </w:rPr>
              <w:t>100%</w:t>
            </w:r>
          </w:p>
        </w:tc>
      </w:tr>
      <w:tr w14:paraId="65BC5649">
        <w:tblPrEx>
          <w:tblCellMar>
            <w:top w:w="0" w:type="dxa"/>
            <w:left w:w="108" w:type="dxa"/>
            <w:bottom w:w="0" w:type="dxa"/>
            <w:right w:w="108" w:type="dxa"/>
          </w:tblCellMar>
        </w:tblPrEx>
        <w:trPr>
          <w:trHeight w:val="340" w:hRule="atLeast"/>
          <w:jc w:val="center"/>
        </w:trPr>
        <w:tc>
          <w:tcPr>
            <w:tcW w:w="1590" w:type="pct"/>
            <w:tcBorders>
              <w:top w:val="nil"/>
              <w:left w:val="single" w:color="auto" w:sz="4" w:space="0"/>
              <w:bottom w:val="single" w:color="auto" w:sz="4" w:space="0"/>
              <w:right w:val="single" w:color="auto" w:sz="4" w:space="0"/>
            </w:tcBorders>
            <w:shd w:val="clear" w:color="auto" w:fill="auto"/>
            <w:vAlign w:val="center"/>
          </w:tcPr>
          <w:p w14:paraId="35FF7E8A">
            <w:pPr>
              <w:jc w:val="center"/>
              <w:rPr>
                <w:rFonts w:hint="default" w:ascii="Times New Roman" w:hAnsi="Times New Roman" w:eastAsia="仿宋_GB2312" w:cs="Times New Roman"/>
                <w:color w:val="000000"/>
                <w:sz w:val="21"/>
                <w:szCs w:val="21"/>
                <w:highlight w:val="none"/>
              </w:rPr>
            </w:pPr>
            <w:r>
              <w:rPr>
                <w:rFonts w:hint="default" w:ascii="Times New Roman" w:hAnsi="Times New Roman" w:eastAsia="仿宋_GB2312" w:cs="Times New Roman"/>
                <w:color w:val="000000"/>
                <w:sz w:val="21"/>
                <w:szCs w:val="21"/>
                <w:highlight w:val="none"/>
              </w:rPr>
              <w:t>项目效益</w:t>
            </w:r>
          </w:p>
        </w:tc>
        <w:tc>
          <w:tcPr>
            <w:tcW w:w="1099" w:type="pct"/>
            <w:tcBorders>
              <w:top w:val="nil"/>
              <w:left w:val="nil"/>
              <w:bottom w:val="single" w:color="auto" w:sz="4" w:space="0"/>
              <w:right w:val="single" w:color="auto" w:sz="4" w:space="0"/>
            </w:tcBorders>
            <w:shd w:val="clear" w:color="auto" w:fill="auto"/>
            <w:vAlign w:val="center"/>
          </w:tcPr>
          <w:p w14:paraId="52D883CB">
            <w:pPr>
              <w:jc w:val="center"/>
              <w:rPr>
                <w:rFonts w:hint="default" w:ascii="Times New Roman" w:hAnsi="Times New Roman" w:eastAsia="仿宋_GB2312" w:cs="Times New Roman"/>
                <w:color w:val="000000"/>
                <w:sz w:val="21"/>
                <w:szCs w:val="21"/>
                <w:highlight w:val="none"/>
                <w:lang w:val="en-US" w:eastAsia="zh-CN"/>
              </w:rPr>
            </w:pPr>
            <w:r>
              <w:rPr>
                <w:rFonts w:hint="default" w:ascii="Times New Roman" w:hAnsi="Times New Roman" w:eastAsia="仿宋_GB2312" w:cs="Times New Roman"/>
                <w:color w:val="000000"/>
                <w:sz w:val="21"/>
                <w:szCs w:val="21"/>
                <w:highlight w:val="none"/>
                <w:lang w:val="en-US" w:eastAsia="zh-CN"/>
              </w:rPr>
              <w:t>20</w:t>
            </w:r>
          </w:p>
        </w:tc>
        <w:tc>
          <w:tcPr>
            <w:tcW w:w="1154" w:type="pct"/>
            <w:tcBorders>
              <w:top w:val="nil"/>
              <w:left w:val="nil"/>
              <w:bottom w:val="single" w:color="auto" w:sz="4" w:space="0"/>
              <w:right w:val="single" w:color="auto" w:sz="4" w:space="0"/>
            </w:tcBorders>
            <w:shd w:val="clear" w:color="auto" w:fill="auto"/>
            <w:vAlign w:val="center"/>
          </w:tcPr>
          <w:p w14:paraId="416FABD1">
            <w:pPr>
              <w:jc w:val="center"/>
              <w:rPr>
                <w:rFonts w:hint="default" w:ascii="Times New Roman" w:hAnsi="Times New Roman" w:eastAsia="仿宋_GB2312" w:cs="Times New Roman"/>
                <w:color w:val="000000"/>
                <w:sz w:val="21"/>
                <w:szCs w:val="21"/>
                <w:highlight w:val="none"/>
                <w:lang w:val="en-US" w:eastAsia="zh-CN"/>
              </w:rPr>
            </w:pPr>
            <w:r>
              <w:rPr>
                <w:rFonts w:hint="eastAsia" w:eastAsia="仿宋_GB2312" w:cs="Times New Roman"/>
                <w:color w:val="000000"/>
                <w:sz w:val="21"/>
                <w:szCs w:val="21"/>
                <w:highlight w:val="none"/>
                <w:lang w:val="en-US" w:eastAsia="zh-CN"/>
              </w:rPr>
              <w:t>20</w:t>
            </w:r>
          </w:p>
        </w:tc>
        <w:tc>
          <w:tcPr>
            <w:tcW w:w="1154" w:type="pct"/>
            <w:tcBorders>
              <w:top w:val="nil"/>
              <w:left w:val="nil"/>
              <w:bottom w:val="single" w:color="auto" w:sz="4" w:space="0"/>
              <w:right w:val="single" w:color="auto" w:sz="4" w:space="0"/>
            </w:tcBorders>
            <w:shd w:val="clear" w:color="auto" w:fill="auto"/>
            <w:vAlign w:val="center"/>
          </w:tcPr>
          <w:p w14:paraId="66EC1B71">
            <w:pPr>
              <w:jc w:val="center"/>
              <w:rPr>
                <w:rFonts w:hint="default" w:ascii="Times New Roman" w:hAnsi="Times New Roman" w:eastAsia="仿宋_GB2312" w:cs="Times New Roman"/>
                <w:color w:val="000000"/>
                <w:sz w:val="21"/>
                <w:szCs w:val="21"/>
                <w:highlight w:val="none"/>
                <w:lang w:val="en-US" w:eastAsia="zh-CN"/>
              </w:rPr>
            </w:pPr>
            <w:r>
              <w:rPr>
                <w:rFonts w:hint="eastAsia" w:eastAsia="仿宋_GB2312" w:cs="Times New Roman"/>
                <w:color w:val="000000"/>
                <w:sz w:val="21"/>
                <w:szCs w:val="21"/>
                <w:highlight w:val="none"/>
                <w:lang w:val="en-US" w:eastAsia="zh-CN"/>
              </w:rPr>
              <w:t>100%</w:t>
            </w:r>
          </w:p>
        </w:tc>
      </w:tr>
      <w:tr w14:paraId="15BFBFDC">
        <w:tblPrEx>
          <w:tblCellMar>
            <w:top w:w="0" w:type="dxa"/>
            <w:left w:w="108" w:type="dxa"/>
            <w:bottom w:w="0" w:type="dxa"/>
            <w:right w:w="108" w:type="dxa"/>
          </w:tblCellMar>
        </w:tblPrEx>
        <w:trPr>
          <w:trHeight w:val="340" w:hRule="atLeast"/>
          <w:jc w:val="center"/>
        </w:trPr>
        <w:tc>
          <w:tcPr>
            <w:tcW w:w="1590" w:type="pct"/>
            <w:tcBorders>
              <w:top w:val="nil"/>
              <w:left w:val="single" w:color="auto" w:sz="4" w:space="0"/>
              <w:bottom w:val="single" w:color="auto" w:sz="4" w:space="0"/>
              <w:right w:val="single" w:color="auto" w:sz="4" w:space="0"/>
            </w:tcBorders>
            <w:shd w:val="clear" w:color="auto" w:fill="auto"/>
            <w:vAlign w:val="center"/>
          </w:tcPr>
          <w:p w14:paraId="425B9267">
            <w:pPr>
              <w:jc w:val="center"/>
              <w:rPr>
                <w:rFonts w:hint="default" w:ascii="Times New Roman" w:hAnsi="Times New Roman" w:eastAsia="仿宋_GB2312" w:cs="Times New Roman"/>
                <w:b/>
                <w:bCs/>
                <w:color w:val="000000"/>
                <w:sz w:val="21"/>
                <w:szCs w:val="21"/>
                <w:highlight w:val="none"/>
              </w:rPr>
            </w:pPr>
            <w:r>
              <w:rPr>
                <w:rFonts w:hint="default" w:ascii="Times New Roman" w:hAnsi="Times New Roman" w:eastAsia="仿宋_GB2312" w:cs="Times New Roman"/>
                <w:b/>
                <w:bCs/>
                <w:color w:val="000000"/>
                <w:sz w:val="21"/>
                <w:szCs w:val="21"/>
                <w:highlight w:val="none"/>
              </w:rPr>
              <w:t>合计</w:t>
            </w:r>
          </w:p>
        </w:tc>
        <w:tc>
          <w:tcPr>
            <w:tcW w:w="1099" w:type="pct"/>
            <w:tcBorders>
              <w:top w:val="nil"/>
              <w:left w:val="nil"/>
              <w:bottom w:val="single" w:color="auto" w:sz="4" w:space="0"/>
              <w:right w:val="single" w:color="auto" w:sz="4" w:space="0"/>
            </w:tcBorders>
            <w:shd w:val="clear" w:color="auto" w:fill="auto"/>
            <w:vAlign w:val="center"/>
          </w:tcPr>
          <w:p w14:paraId="5CFDAFD6">
            <w:pPr>
              <w:jc w:val="center"/>
              <w:rPr>
                <w:rFonts w:hint="default" w:ascii="Times New Roman" w:hAnsi="Times New Roman" w:eastAsia="仿宋_GB2312" w:cs="Times New Roman"/>
                <w:b/>
                <w:bCs/>
                <w:color w:val="000000"/>
                <w:sz w:val="21"/>
                <w:szCs w:val="21"/>
                <w:highlight w:val="none"/>
                <w:lang w:val="en-US" w:eastAsia="zh-CN"/>
              </w:rPr>
            </w:pPr>
            <w:r>
              <w:rPr>
                <w:rFonts w:hint="default" w:ascii="Times New Roman" w:hAnsi="Times New Roman" w:eastAsia="仿宋_GB2312" w:cs="Times New Roman"/>
                <w:b/>
                <w:bCs/>
                <w:color w:val="000000"/>
                <w:sz w:val="21"/>
                <w:szCs w:val="21"/>
                <w:highlight w:val="none"/>
                <w:lang w:val="en-US" w:eastAsia="zh-CN"/>
              </w:rPr>
              <w:t>100</w:t>
            </w:r>
          </w:p>
        </w:tc>
        <w:tc>
          <w:tcPr>
            <w:tcW w:w="1154" w:type="pct"/>
            <w:tcBorders>
              <w:top w:val="nil"/>
              <w:left w:val="nil"/>
              <w:bottom w:val="single" w:color="auto" w:sz="4" w:space="0"/>
              <w:right w:val="single" w:color="auto" w:sz="4" w:space="0"/>
            </w:tcBorders>
            <w:shd w:val="clear" w:color="auto" w:fill="auto"/>
            <w:vAlign w:val="center"/>
          </w:tcPr>
          <w:p w14:paraId="05CF00B6">
            <w:pPr>
              <w:jc w:val="center"/>
              <w:rPr>
                <w:rFonts w:hint="default" w:ascii="Times New Roman" w:hAnsi="Times New Roman" w:eastAsia="仿宋_GB2312" w:cs="Times New Roman"/>
                <w:b/>
                <w:bCs/>
                <w:color w:val="000000"/>
                <w:sz w:val="21"/>
                <w:szCs w:val="21"/>
                <w:highlight w:val="none"/>
                <w:lang w:val="en-US" w:eastAsia="zh-CN"/>
              </w:rPr>
            </w:pPr>
            <w:r>
              <w:rPr>
                <w:rFonts w:hint="eastAsia" w:eastAsia="仿宋_GB2312" w:cs="Times New Roman"/>
                <w:b/>
                <w:bCs/>
                <w:color w:val="000000"/>
                <w:sz w:val="21"/>
                <w:szCs w:val="21"/>
                <w:highlight w:val="none"/>
                <w:lang w:val="en-US" w:eastAsia="zh-CN"/>
              </w:rPr>
              <w:t>100</w:t>
            </w:r>
          </w:p>
        </w:tc>
        <w:tc>
          <w:tcPr>
            <w:tcW w:w="1154" w:type="pct"/>
            <w:tcBorders>
              <w:top w:val="nil"/>
              <w:left w:val="nil"/>
              <w:bottom w:val="single" w:color="auto" w:sz="4" w:space="0"/>
              <w:right w:val="single" w:color="auto" w:sz="4" w:space="0"/>
            </w:tcBorders>
            <w:shd w:val="clear" w:color="auto" w:fill="auto"/>
            <w:vAlign w:val="center"/>
          </w:tcPr>
          <w:p w14:paraId="1F175CB6">
            <w:pPr>
              <w:jc w:val="center"/>
              <w:rPr>
                <w:rFonts w:hint="default" w:ascii="Times New Roman" w:hAnsi="Times New Roman" w:eastAsia="仿宋_GB2312" w:cs="Times New Roman"/>
                <w:b/>
                <w:bCs/>
                <w:color w:val="000000"/>
                <w:sz w:val="21"/>
                <w:szCs w:val="21"/>
                <w:highlight w:val="none"/>
                <w:lang w:val="en-US" w:eastAsia="zh-CN"/>
              </w:rPr>
            </w:pPr>
            <w:r>
              <w:rPr>
                <w:rFonts w:hint="eastAsia" w:eastAsia="仿宋_GB2312" w:cs="Times New Roman"/>
                <w:b/>
                <w:bCs/>
                <w:color w:val="000000"/>
                <w:sz w:val="21"/>
                <w:szCs w:val="21"/>
                <w:highlight w:val="none"/>
                <w:lang w:val="en-US" w:eastAsia="zh-CN"/>
              </w:rPr>
              <w:t>100%</w:t>
            </w:r>
          </w:p>
        </w:tc>
      </w:tr>
    </w:tbl>
    <w:p w14:paraId="7E858C8C">
      <w:pPr>
        <w:spacing w:line="560" w:lineRule="exact"/>
        <w:ind w:firstLine="640" w:firstLineChars="200"/>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四、绩效评价指标分析</w:t>
      </w:r>
    </w:p>
    <w:p w14:paraId="0E7304A7">
      <w:pPr>
        <w:pStyle w:val="9"/>
        <w:spacing w:before="0" w:after="0" w:line="560" w:lineRule="exact"/>
        <w:ind w:firstLine="643" w:firstLineChars="200"/>
        <w:jc w:val="both"/>
        <w:rPr>
          <w:rFonts w:hint="default" w:ascii="Times New Roman" w:hAnsi="Times New Roman" w:eastAsia="楷体_GB2312" w:cs="Times New Roman"/>
          <w:highlight w:val="none"/>
        </w:rPr>
      </w:pPr>
      <w:r>
        <w:rPr>
          <w:rFonts w:hint="default" w:ascii="Times New Roman" w:hAnsi="Times New Roman" w:eastAsia="楷体_GB2312" w:cs="Times New Roman"/>
          <w:highlight w:val="none"/>
        </w:rPr>
        <w:t>（一）项目决策情况</w:t>
      </w:r>
    </w:p>
    <w:p w14:paraId="4D02732B">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项目决策类指标包括项目立项、绩效目标和资金投入三方面的内容，由6个三级指标构成，权重分值为20分，实际得分</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p>
    <w:p w14:paraId="379C4E76">
      <w:pPr>
        <w:pStyle w:val="20"/>
        <w:keepNext w:val="0"/>
        <w:keepLines w:val="0"/>
        <w:pageBreakBefore w:val="0"/>
        <w:widowControl w:val="0"/>
        <w:shd w:val="clear" w:color="auto" w:fill="auto"/>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1.项目立项</w:t>
      </w:r>
    </w:p>
    <w:p w14:paraId="684D83F2">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（1）立项依据充分性</w:t>
      </w:r>
    </w:p>
    <w:p w14:paraId="7982344C">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p>
    <w:p w14:paraId="72371932">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（2）立项程序规范性</w:t>
      </w:r>
    </w:p>
    <w:p w14:paraId="18C58E1C">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项目申请、设立过程符合相关要求，严格按照审批流程准备符合要求的文件、材料；</w:t>
      </w:r>
      <w:r>
        <w:rPr>
          <w:rFonts w:hint="default" w:ascii="Times New Roman" w:hAnsi="Times New Roman" w:eastAsia="仿宋_GB2312" w:cs="Times New Roman"/>
          <w:sz w:val="32"/>
          <w:szCs w:val="32"/>
          <w:highlight w:val="none"/>
          <w:lang w:val="en-US" w:eastAsia="zh-CN"/>
        </w:rPr>
        <w:t>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w:t>
      </w:r>
    </w:p>
    <w:p w14:paraId="4CCCB3D8">
      <w:pPr>
        <w:pStyle w:val="20"/>
        <w:keepNext w:val="0"/>
        <w:keepLines w:val="0"/>
        <w:pageBreakBefore w:val="0"/>
        <w:widowControl w:val="0"/>
        <w:shd w:val="clear" w:color="auto" w:fill="auto"/>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2.绩效目标</w:t>
      </w:r>
    </w:p>
    <w:p w14:paraId="5EA03BF9">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（1）绩效目标合理性</w:t>
      </w:r>
    </w:p>
    <w:p w14:paraId="36A56BBF">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rPr>
        <w:t>年初结合实际工作内容</w:t>
      </w:r>
      <w:r>
        <w:rPr>
          <w:rFonts w:hint="default" w:ascii="Times New Roman" w:hAnsi="Times New Roman" w:eastAsia="仿宋_GB2312" w:cs="Times New Roman"/>
          <w:sz w:val="32"/>
          <w:szCs w:val="32"/>
          <w:highlight w:val="none"/>
          <w:lang w:val="en-US" w:eastAsia="zh-CN"/>
        </w:rPr>
        <w:t>设定绩效目标</w:t>
      </w:r>
      <w:r>
        <w:rPr>
          <w:rFonts w:hint="default" w:ascii="Times New Roman" w:hAnsi="Times New Roman" w:eastAsia="仿宋_GB2312" w:cs="Times New Roman"/>
          <w:sz w:val="32"/>
          <w:szCs w:val="32"/>
          <w:highlight w:val="none"/>
          <w:lang w:val="en-US"/>
        </w:rPr>
        <w:t>，绩效目标</w:t>
      </w:r>
      <w:r>
        <w:rPr>
          <w:rFonts w:hint="default" w:ascii="Times New Roman" w:hAnsi="Times New Roman" w:eastAsia="仿宋_GB2312" w:cs="Times New Roman"/>
          <w:sz w:val="32"/>
          <w:szCs w:val="32"/>
          <w:highlight w:val="none"/>
          <w:lang w:val="en-US" w:eastAsia="zh-CN"/>
        </w:rPr>
        <w:t>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14:paraId="3C762B5E">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（2）绩效指标明确性</w:t>
      </w:r>
    </w:p>
    <w:p w14:paraId="54DE122B">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项目设置了明确的预期产出效益和效果，将绩效目标细化分解为具体的绩效指标，绩效目标与项目目标任务数相对应，绩效目标设定的绩效指标清晰、细化、可衡量。</w:t>
      </w:r>
    </w:p>
    <w:p w14:paraId="4484072F">
      <w:pPr>
        <w:pStyle w:val="20"/>
        <w:keepNext w:val="0"/>
        <w:keepLines w:val="0"/>
        <w:pageBreakBefore w:val="0"/>
        <w:widowControl w:val="0"/>
        <w:shd w:val="clear" w:color="auto" w:fill="auto"/>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3.资金投入</w:t>
      </w:r>
    </w:p>
    <w:p w14:paraId="6E171554">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（1）预算编制科学性</w:t>
      </w:r>
    </w:p>
    <w:p w14:paraId="43664B6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p>
    <w:p w14:paraId="565C8545">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在预算编制过程中，</w:t>
      </w:r>
      <w:r>
        <w:rPr>
          <w:rFonts w:hint="default" w:ascii="Times New Roman" w:hAnsi="Times New Roman" w:eastAsia="仿宋_GB2312" w:cs="Times New Roman"/>
          <w:sz w:val="32"/>
          <w:szCs w:val="32"/>
          <w:highlight w:val="none"/>
          <w:lang w:val="en-US" w:eastAsia="zh-CN"/>
        </w:rPr>
        <w:t>还</w:t>
      </w:r>
      <w:r>
        <w:rPr>
          <w:rFonts w:hint="default" w:ascii="Times New Roman" w:hAnsi="Times New Roman" w:eastAsia="仿宋_GB2312" w:cs="Times New Roman"/>
          <w:sz w:val="32"/>
          <w:szCs w:val="32"/>
          <w:highlight w:val="none"/>
          <w:lang w:eastAsia="zh-CN"/>
        </w:rPr>
        <w:t>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p>
    <w:p w14:paraId="29385E59">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（2）资金分配合理性</w:t>
      </w:r>
    </w:p>
    <w:p w14:paraId="540EEB3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本项目的资金分配遵循了公平、公正、透明的原则，确保了项目资源的合理配置与高效利用。在资金分配过程中，我们充分考虑了项目的实际需求与目标，对不同阶段、不同任务的资金进行了科学的规划与安排。</w:t>
      </w:r>
    </w:p>
    <w:p w14:paraId="632FA11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p>
    <w:p w14:paraId="293D1C7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综上所述，本项目的资金分配是合理的、科学的，既符合项目的实际情况，又满足了资金使用的效益最大化要求。资金分配的合理性为项目的成功实施提供了有力的保障，也为项目的绩效评价奠定了坚实的基础。</w:t>
      </w:r>
    </w:p>
    <w:p w14:paraId="137B7225">
      <w:pPr>
        <w:pStyle w:val="9"/>
        <w:numPr>
          <w:ilvl w:val="0"/>
          <w:numId w:val="6"/>
        </w:numPr>
        <w:spacing w:before="0" w:after="0" w:line="560" w:lineRule="exact"/>
        <w:ind w:firstLine="643" w:firstLineChars="200"/>
        <w:jc w:val="both"/>
        <w:rPr>
          <w:rFonts w:hint="default" w:ascii="Times New Roman" w:hAnsi="Times New Roman" w:eastAsia="楷体" w:cs="Times New Roman"/>
          <w:highlight w:val="none"/>
        </w:rPr>
      </w:pPr>
      <w:r>
        <w:rPr>
          <w:rFonts w:hint="default" w:ascii="Times New Roman" w:hAnsi="Times New Roman" w:eastAsia="楷体" w:cs="Times New Roman"/>
          <w:highlight w:val="none"/>
        </w:rPr>
        <w:t>项目过程情况</w:t>
      </w:r>
    </w:p>
    <w:p w14:paraId="423E33B5">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项目过程类指标包括资金管理和组织实施两方面的内容，由5个三级指标构成，权重分值为20分，实际得分</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p>
    <w:p w14:paraId="32ECDA7F">
      <w:pPr>
        <w:pStyle w:val="20"/>
        <w:keepNext w:val="0"/>
        <w:keepLines w:val="0"/>
        <w:pageBreakBefore w:val="0"/>
        <w:widowControl w:val="0"/>
        <w:shd w:val="clear" w:color="auto" w:fill="auto"/>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1.资金管理</w:t>
      </w:r>
    </w:p>
    <w:p w14:paraId="6395E44D">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（1）资金到位率</w:t>
      </w:r>
    </w:p>
    <w:p w14:paraId="76D96EA4">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本项目总投资</w:t>
      </w:r>
      <w:r>
        <w:rPr>
          <w:rFonts w:hint="eastAsia" w:eastAsia="仿宋_GB2312" w:cs="Times New Roman"/>
          <w:sz w:val="32"/>
          <w:szCs w:val="32"/>
          <w:highlight w:val="none"/>
          <w:lang w:val="en-US" w:eastAsia="zh-CN"/>
        </w:rPr>
        <w:t>27</w:t>
      </w:r>
      <w:r>
        <w:rPr>
          <w:rFonts w:hint="default" w:ascii="Times New Roman" w:hAnsi="Times New Roman" w:eastAsia="仿宋_GB2312" w:cs="Times New Roman"/>
          <w:sz w:val="32"/>
          <w:szCs w:val="32"/>
          <w:highlight w:val="none"/>
          <w:lang w:val="en-US" w:eastAsia="zh-CN"/>
        </w:rPr>
        <w:t>万元，财政资金及时足额到位，到位率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%，预算资金按计划进度执行。</w:t>
      </w:r>
    </w:p>
    <w:p w14:paraId="41CFBD9B">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（2）预算执行率</w:t>
      </w:r>
    </w:p>
    <w:p w14:paraId="3E93C4F4">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预算编制较为详细，项目资金支出总体能够按照预算执行，预算资金支出</w:t>
      </w:r>
      <w:r>
        <w:rPr>
          <w:rFonts w:hint="eastAsia" w:eastAsia="仿宋_GB2312" w:cs="Times New Roman"/>
          <w:sz w:val="32"/>
          <w:szCs w:val="32"/>
          <w:highlight w:val="none"/>
          <w:lang w:val="en-US" w:eastAsia="zh-CN"/>
        </w:rPr>
        <w:t>27</w:t>
      </w:r>
      <w:r>
        <w:rPr>
          <w:rFonts w:hint="default" w:ascii="Times New Roman" w:hAnsi="Times New Roman" w:eastAsia="仿宋_GB2312" w:cs="Times New Roman"/>
          <w:sz w:val="32"/>
          <w:szCs w:val="32"/>
          <w:highlight w:val="none"/>
          <w:lang w:val="en-US" w:eastAsia="zh-CN"/>
        </w:rPr>
        <w:t>万元，预算执行率为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p>
    <w:p w14:paraId="6B33386E">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（3）资金使用合规性</w:t>
      </w:r>
    </w:p>
    <w:p w14:paraId="043F773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本项目的资金使用严格遵循了国家相关法律法规与财务制度，确保了资金的合规性与安全性。在资金使用过程中，我们建立了完善的财务管理体系，对资金的流动进行了全程监控与记录。</w:t>
      </w:r>
    </w:p>
    <w:p w14:paraId="508C212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p>
    <w:p w14:paraId="3E7792C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p>
    <w:p w14:paraId="59DD3F9E">
      <w:pPr>
        <w:pStyle w:val="20"/>
        <w:keepNext w:val="0"/>
        <w:keepLines w:val="0"/>
        <w:pageBreakBefore w:val="0"/>
        <w:widowControl w:val="0"/>
        <w:shd w:val="clear" w:color="auto" w:fill="auto"/>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2.组织实施</w:t>
      </w:r>
    </w:p>
    <w:p w14:paraId="40A69D92">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（1）管理制度健全性</w:t>
      </w:r>
    </w:p>
    <w:p w14:paraId="5B13027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本项目拥有一套完善、健全的管理制度体系，为项目的成功实施提供了坚实的制度保障。项目管理制度的制定紧密结合了项目的特点与实际情况，涵盖了项目的策划、组织、实施、监控与收尾等各个环节。</w:t>
      </w:r>
    </w:p>
    <w:p w14:paraId="03C0BB8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在制度设计上，我们注重了制度的科学性与可操作性，确保制度能够切实指导项目的执行与管理。</w:t>
      </w:r>
    </w:p>
    <w:p w14:paraId="42C790A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p>
    <w:p w14:paraId="46AC9C71">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综上所述，本项目的管理制度是健全的、有效的，既符合项目的实际情况，又满足了项目管理的需要。管理制度的健全性为项目的成功实施提供了有力的保障，也为项目的绩效评价奠定了坚实的基础。</w:t>
      </w:r>
    </w:p>
    <w:p w14:paraId="0A074CAA">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（2）制度执行有效性</w:t>
      </w:r>
    </w:p>
    <w:p w14:paraId="14D8A2C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本项目在执行过程中，管理制度得到了全面、有效的落实，为确保项目的顺利实施与目标实现提供了坚实的保障。项目</w:t>
      </w:r>
      <w:r>
        <w:rPr>
          <w:rFonts w:hint="default" w:ascii="Times New Roman" w:hAnsi="Times New Roman" w:eastAsia="仿宋_GB2312" w:cs="Times New Roman"/>
          <w:sz w:val="32"/>
          <w:szCs w:val="32"/>
          <w:highlight w:val="none"/>
          <w:lang w:val="en-US" w:eastAsia="zh-CN"/>
        </w:rPr>
        <w:t>单位</w:t>
      </w:r>
      <w:r>
        <w:rPr>
          <w:rFonts w:hint="default" w:ascii="Times New Roman" w:hAnsi="Times New Roman" w:eastAsia="仿宋_GB2312" w:cs="Times New Roman"/>
          <w:sz w:val="32"/>
          <w:szCs w:val="32"/>
          <w:highlight w:val="none"/>
          <w:lang w:eastAsia="zh-CN"/>
        </w:rPr>
        <w:t>重视制度执行的重要性，通过明确责任分工、制定详细执行计划、加强监督考核等措施，确保了各项管理制度能够得到有效执行。</w:t>
      </w:r>
    </w:p>
    <w:p w14:paraId="6407F79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在具体执行过程中，项目团队成员严格按照制度要求进行操作。同时，我们还建立了有效的沟通机制与反馈机制，确保项目信息的及时传递与问题的及时解决，进一步提高了制度执行的效率与效果。</w:t>
      </w:r>
    </w:p>
    <w:p w14:paraId="24F6515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eastAsia="zh-CN"/>
        </w:rPr>
        <w:t>综上所述，本项目的管理制度在执行过程中表现出了高度的有效性，既确保了项目的顺利进行，又实现了项目目标的有效达成。</w:t>
      </w:r>
    </w:p>
    <w:p w14:paraId="7835F516">
      <w:pPr>
        <w:pStyle w:val="10"/>
        <w:numPr>
          <w:ilvl w:val="0"/>
          <w:numId w:val="6"/>
        </w:numPr>
        <w:spacing w:line="560" w:lineRule="exact"/>
        <w:ind w:firstLine="643"/>
        <w:rPr>
          <w:rFonts w:hint="default" w:ascii="Times New Roman" w:hAnsi="Times New Roman" w:eastAsia="楷体_GB2312" w:cs="Times New Roman"/>
          <w:b/>
          <w:bCs/>
          <w:sz w:val="32"/>
          <w:szCs w:val="32"/>
          <w:highlight w:val="none"/>
        </w:rPr>
      </w:pPr>
      <w:r>
        <w:rPr>
          <w:rFonts w:hint="default" w:ascii="Times New Roman" w:hAnsi="Times New Roman" w:eastAsia="楷体_GB2312" w:cs="Times New Roman"/>
          <w:b/>
          <w:bCs/>
          <w:sz w:val="32"/>
          <w:szCs w:val="32"/>
          <w:highlight w:val="none"/>
        </w:rPr>
        <w:t>项目产出</w:t>
      </w:r>
      <w:r>
        <w:rPr>
          <w:rFonts w:hint="default" w:ascii="Times New Roman" w:hAnsi="Times New Roman" w:eastAsia="楷体_GB2312" w:cs="Times New Roman"/>
          <w:b/>
          <w:bCs/>
          <w:sz w:val="32"/>
          <w:szCs w:val="32"/>
          <w:highlight w:val="none"/>
          <w:lang w:val="en-US" w:eastAsia="zh-CN"/>
        </w:rPr>
        <w:t>情况</w:t>
      </w:r>
    </w:p>
    <w:p w14:paraId="33A28FCE">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项目产出类指标包括产出数量、产出质量、产出时效、产出成本四方面的内容，由</w:t>
      </w:r>
      <w:r>
        <w:rPr>
          <w:rFonts w:hint="eastAsia" w:eastAsia="仿宋_GB2312" w:cs="Times New Roman"/>
          <w:sz w:val="32"/>
          <w:szCs w:val="32"/>
          <w:highlight w:val="none"/>
          <w:lang w:val="en-US" w:eastAsia="zh-CN"/>
        </w:rPr>
        <w:t>5</w:t>
      </w:r>
      <w:r>
        <w:rPr>
          <w:rFonts w:hint="default" w:ascii="Times New Roman" w:hAnsi="Times New Roman" w:eastAsia="仿宋_GB2312" w:cs="Times New Roman"/>
          <w:sz w:val="32"/>
          <w:szCs w:val="32"/>
          <w:highlight w:val="none"/>
          <w:lang w:val="en-US" w:eastAsia="zh-CN"/>
        </w:rPr>
        <w:t>个三级指标构成，权重分为40分，实际得分</w:t>
      </w:r>
      <w:r>
        <w:rPr>
          <w:rFonts w:hint="eastAsia" w:eastAsia="仿宋_GB2312" w:cs="Times New Roman"/>
          <w:sz w:val="32"/>
          <w:szCs w:val="32"/>
          <w:highlight w:val="none"/>
          <w:lang w:val="en-US" w:eastAsia="zh-CN"/>
        </w:rPr>
        <w:t>40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%。具体产出指标完成情况如下：</w:t>
      </w:r>
    </w:p>
    <w:p w14:paraId="424D77B5">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1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①</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数量指标：</w:t>
      </w:r>
    </w:p>
    <w:p w14:paraId="75614BD4">
      <w:pPr>
        <w:shd w:val="clear" w:color="auto" w:fill="auto"/>
        <w:spacing w:line="600" w:lineRule="exact"/>
        <w:ind w:firstLine="640" w:firstLineChars="200"/>
        <w:outlineLvl w:val="0"/>
        <w:rPr>
          <w:rFonts w:hint="eastAsia"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指标1：</w:t>
      </w:r>
      <w:r>
        <w:rPr>
          <w:rFonts w:hint="eastAsia" w:eastAsia="仿宋_GB2312" w:cs="Times New Roman"/>
          <w:sz w:val="32"/>
          <w:szCs w:val="32"/>
          <w:highlight w:val="none"/>
          <w:lang w:val="en-US" w:eastAsia="zh-CN"/>
        </w:rPr>
        <w:t>地区“五个好”标准化规范化党支部</w:t>
      </w:r>
      <w:r>
        <w:rPr>
          <w:rFonts w:hint="default" w:ascii="Times New Roman" w:hAnsi="Times New Roman" w:eastAsia="仿宋_GB2312" w:cs="Times New Roman"/>
          <w:sz w:val="32"/>
          <w:szCs w:val="32"/>
          <w:highlight w:val="none"/>
        </w:rPr>
        <w:t>，指标值：</w:t>
      </w:r>
      <w:r>
        <w:rPr>
          <w:rFonts w:hint="eastAsia" w:eastAsia="仿宋_GB2312" w:cs="Times New Roman"/>
          <w:sz w:val="32"/>
          <w:szCs w:val="32"/>
          <w:highlight w:val="none"/>
          <w:lang w:val="en-US" w:eastAsia="zh-CN"/>
        </w:rPr>
        <w:t>8个</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8个</w:t>
      </w:r>
      <w:r>
        <w:rPr>
          <w:rFonts w:hint="default" w:ascii="Times New Roman" w:hAnsi="Times New Roman" w:eastAsia="仿宋_GB2312" w:cs="Times New Roman"/>
          <w:sz w:val="32"/>
          <w:szCs w:val="32"/>
          <w:highlight w:val="none"/>
        </w:rPr>
        <w:t>，指标完成</w:t>
      </w:r>
      <w:r>
        <w:rPr>
          <w:rFonts w:hint="eastAsia" w:eastAsia="仿宋_GB2312" w:cs="Times New Roman"/>
          <w:sz w:val="32"/>
          <w:szCs w:val="32"/>
          <w:highlight w:val="none"/>
          <w:lang w:val="en-US" w:eastAsia="zh-CN"/>
        </w:rPr>
        <w:t>率100</w:t>
      </w:r>
      <w:r>
        <w:rPr>
          <w:rFonts w:hint="default" w:ascii="Times New Roman" w:hAnsi="Times New Roman" w:eastAsia="仿宋_GB2312" w:cs="Times New Roman"/>
          <w:sz w:val="32"/>
          <w:szCs w:val="32"/>
          <w:highlight w:val="none"/>
        </w:rPr>
        <w:t xml:space="preserve"> %</w:t>
      </w:r>
      <w:r>
        <w:rPr>
          <w:rFonts w:hint="eastAsia" w:eastAsia="仿宋_GB2312" w:cs="Times New Roman"/>
          <w:sz w:val="32"/>
          <w:szCs w:val="32"/>
          <w:highlight w:val="none"/>
          <w:lang w:eastAsia="zh-CN"/>
        </w:rPr>
        <w:t>。</w:t>
      </w:r>
    </w:p>
    <w:p w14:paraId="5B454671">
      <w:pPr>
        <w:shd w:val="clear" w:color="auto" w:fill="auto"/>
        <w:spacing w:line="600" w:lineRule="exact"/>
        <w:ind w:firstLine="640" w:firstLineChars="200"/>
        <w:outlineLvl w:val="0"/>
        <w:rPr>
          <w:rFonts w:hint="eastAsia" w:eastAsia="仿宋_GB2312" w:cs="Times New Roman"/>
          <w:sz w:val="32"/>
          <w:szCs w:val="32"/>
          <w:highlight w:val="none"/>
          <w:lang w:eastAsia="zh-CN"/>
        </w:rPr>
      </w:pPr>
      <w:r>
        <w:rPr>
          <w:rFonts w:hint="eastAsia" w:eastAsia="仿宋_GB2312" w:cs="Times New Roman"/>
          <w:sz w:val="32"/>
          <w:szCs w:val="32"/>
          <w:highlight w:val="none"/>
          <w:lang w:val="en-US" w:eastAsia="zh-CN"/>
        </w:rPr>
        <w:t>指标2：地区“五个好”标准化规范化党支部“进位之星”，</w:t>
      </w:r>
      <w:r>
        <w:rPr>
          <w:rFonts w:hint="default" w:ascii="Times New Roman" w:hAnsi="Times New Roman" w:eastAsia="仿宋_GB2312" w:cs="Times New Roman"/>
          <w:sz w:val="32"/>
          <w:szCs w:val="32"/>
          <w:highlight w:val="none"/>
        </w:rPr>
        <w:t>指标值：</w:t>
      </w:r>
      <w:r>
        <w:rPr>
          <w:rFonts w:hint="eastAsia" w:eastAsia="仿宋_GB2312" w:cs="Times New Roman"/>
          <w:sz w:val="32"/>
          <w:szCs w:val="32"/>
          <w:highlight w:val="none"/>
          <w:lang w:val="en-US" w:eastAsia="zh-CN"/>
        </w:rPr>
        <w:t>1个</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1个</w:t>
      </w:r>
      <w:r>
        <w:rPr>
          <w:rFonts w:hint="default" w:ascii="Times New Roman" w:hAnsi="Times New Roman" w:eastAsia="仿宋_GB2312" w:cs="Times New Roman"/>
          <w:sz w:val="32"/>
          <w:szCs w:val="32"/>
          <w:highlight w:val="none"/>
        </w:rPr>
        <w:t>，指标完成</w:t>
      </w:r>
      <w:r>
        <w:rPr>
          <w:rFonts w:hint="eastAsia" w:eastAsia="仿宋_GB2312" w:cs="Times New Roman"/>
          <w:sz w:val="32"/>
          <w:szCs w:val="32"/>
          <w:highlight w:val="none"/>
          <w:lang w:val="en-US" w:eastAsia="zh-CN"/>
        </w:rPr>
        <w:t>率100</w:t>
      </w:r>
      <w:r>
        <w:rPr>
          <w:rFonts w:hint="default" w:ascii="Times New Roman" w:hAnsi="Times New Roman" w:eastAsia="仿宋_GB2312" w:cs="Times New Roman"/>
          <w:sz w:val="32"/>
          <w:szCs w:val="32"/>
          <w:highlight w:val="none"/>
        </w:rPr>
        <w:t xml:space="preserve"> %</w:t>
      </w:r>
      <w:r>
        <w:rPr>
          <w:rFonts w:hint="eastAsia" w:eastAsia="仿宋_GB2312" w:cs="Times New Roman"/>
          <w:sz w:val="32"/>
          <w:szCs w:val="32"/>
          <w:highlight w:val="none"/>
          <w:lang w:eastAsia="zh-CN"/>
        </w:rPr>
        <w:t>。</w:t>
      </w:r>
    </w:p>
    <w:p w14:paraId="1B17193C">
      <w:pPr>
        <w:shd w:val="clear" w:color="auto" w:fill="auto"/>
        <w:spacing w:line="600" w:lineRule="exact"/>
        <w:ind w:firstLine="640" w:firstLineChars="200"/>
        <w:outlineLvl w:val="0"/>
        <w:rPr>
          <w:rFonts w:hint="eastAsia"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2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②</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质量指标：</w:t>
      </w:r>
      <w:r>
        <w:rPr>
          <w:rFonts w:hint="eastAsia" w:eastAsia="仿宋_GB2312" w:cs="Times New Roman"/>
          <w:sz w:val="32"/>
          <w:szCs w:val="32"/>
          <w:highlight w:val="none"/>
          <w:lang w:val="en-US" w:eastAsia="zh-CN"/>
        </w:rPr>
        <w:t>验收通过率，</w:t>
      </w:r>
      <w:r>
        <w:rPr>
          <w:rFonts w:hint="default" w:ascii="Times New Roman" w:hAnsi="Times New Roman" w:eastAsia="仿宋_GB2312" w:cs="Times New Roman"/>
          <w:sz w:val="32"/>
          <w:szCs w:val="32"/>
          <w:highlight w:val="none"/>
        </w:rPr>
        <w:t>指标值：</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，指标完成</w:t>
      </w:r>
      <w:r>
        <w:rPr>
          <w:rFonts w:hint="eastAsia" w:eastAsia="仿宋_GB2312" w:cs="Times New Roman"/>
          <w:sz w:val="32"/>
          <w:szCs w:val="32"/>
          <w:highlight w:val="none"/>
          <w:lang w:val="en-US" w:eastAsia="zh-CN"/>
        </w:rPr>
        <w:t>率100</w:t>
      </w:r>
      <w:r>
        <w:rPr>
          <w:rFonts w:hint="default" w:ascii="Times New Roman" w:hAnsi="Times New Roman" w:eastAsia="仿宋_GB2312" w:cs="Times New Roman"/>
          <w:sz w:val="32"/>
          <w:szCs w:val="32"/>
          <w:highlight w:val="none"/>
        </w:rPr>
        <w:t xml:space="preserve"> %</w:t>
      </w:r>
      <w:r>
        <w:rPr>
          <w:rFonts w:hint="eastAsia" w:eastAsia="仿宋_GB2312" w:cs="Times New Roman"/>
          <w:sz w:val="32"/>
          <w:szCs w:val="32"/>
          <w:highlight w:val="none"/>
          <w:lang w:eastAsia="zh-CN"/>
        </w:rPr>
        <w:t>。</w:t>
      </w:r>
    </w:p>
    <w:p w14:paraId="4FD6F7AB">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3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③</w:t>
      </w:r>
      <w:r>
        <w:rPr>
          <w:rFonts w:hint="default" w:ascii="Times New Roman" w:hAnsi="Times New Roman" w:eastAsia="仿宋_GB2312" w:cs="Times New Roman"/>
          <w:sz w:val="32"/>
          <w:szCs w:val="32"/>
          <w:highlight w:val="none"/>
        </w:rPr>
        <w:fldChar w:fldCharType="end"/>
      </w:r>
      <w:r>
        <w:rPr>
          <w:rFonts w:hint="eastAsia" w:eastAsia="仿宋_GB2312" w:cs="Times New Roman"/>
          <w:sz w:val="32"/>
          <w:szCs w:val="32"/>
          <w:highlight w:val="none"/>
          <w:lang w:val="en-US" w:eastAsia="zh-CN"/>
        </w:rPr>
        <w:t>经济成本</w:t>
      </w:r>
      <w:r>
        <w:rPr>
          <w:rFonts w:hint="default" w:ascii="Times New Roman" w:hAnsi="Times New Roman" w:eastAsia="仿宋_GB2312" w:cs="Times New Roman"/>
          <w:sz w:val="32"/>
          <w:szCs w:val="32"/>
          <w:highlight w:val="none"/>
        </w:rPr>
        <w:t>指标：</w:t>
      </w:r>
    </w:p>
    <w:p w14:paraId="4C51594C">
      <w:pPr>
        <w:shd w:val="clear" w:color="auto" w:fill="auto"/>
        <w:spacing w:line="600" w:lineRule="exact"/>
        <w:ind w:firstLine="640" w:firstLineChars="200"/>
        <w:outlineLvl w:val="0"/>
        <w:rPr>
          <w:rFonts w:hint="eastAsia"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指标1：</w:t>
      </w:r>
      <w:r>
        <w:rPr>
          <w:rFonts w:hint="eastAsia" w:eastAsia="仿宋_GB2312" w:cs="Times New Roman"/>
          <w:sz w:val="32"/>
          <w:szCs w:val="32"/>
          <w:highlight w:val="none"/>
          <w:lang w:val="en-US" w:eastAsia="zh-CN"/>
        </w:rPr>
        <w:t>地区“五个好”标准化规范化党支部经费补助</w:t>
      </w:r>
      <w:r>
        <w:rPr>
          <w:rFonts w:hint="default" w:ascii="Times New Roman" w:hAnsi="Times New Roman" w:eastAsia="仿宋_GB2312" w:cs="Times New Roman"/>
          <w:sz w:val="32"/>
          <w:szCs w:val="32"/>
          <w:highlight w:val="none"/>
        </w:rPr>
        <w:t>，指标值：</w:t>
      </w:r>
      <w:r>
        <w:rPr>
          <w:rFonts w:hint="eastAsia" w:eastAsia="仿宋_GB2312" w:cs="Times New Roman"/>
          <w:sz w:val="32"/>
          <w:szCs w:val="32"/>
          <w:highlight w:val="none"/>
          <w:lang w:val="en-US" w:eastAsia="zh-CN"/>
        </w:rPr>
        <w:t>24万元</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24万元</w:t>
      </w:r>
      <w:r>
        <w:rPr>
          <w:rFonts w:hint="default" w:ascii="Times New Roman" w:hAnsi="Times New Roman" w:eastAsia="仿宋_GB2312" w:cs="Times New Roman"/>
          <w:sz w:val="32"/>
          <w:szCs w:val="32"/>
          <w:highlight w:val="none"/>
        </w:rPr>
        <w:t>，指标完成</w:t>
      </w:r>
      <w:r>
        <w:rPr>
          <w:rFonts w:hint="eastAsia" w:eastAsia="仿宋_GB2312" w:cs="Times New Roman"/>
          <w:sz w:val="32"/>
          <w:szCs w:val="32"/>
          <w:highlight w:val="none"/>
          <w:lang w:val="en-US" w:eastAsia="zh-CN"/>
        </w:rPr>
        <w:t>率100</w:t>
      </w:r>
      <w:r>
        <w:rPr>
          <w:rFonts w:hint="default" w:ascii="Times New Roman" w:hAnsi="Times New Roman" w:eastAsia="仿宋_GB2312" w:cs="Times New Roman"/>
          <w:sz w:val="32"/>
          <w:szCs w:val="32"/>
          <w:highlight w:val="none"/>
        </w:rPr>
        <w:t xml:space="preserve"> %</w:t>
      </w:r>
      <w:r>
        <w:rPr>
          <w:rFonts w:hint="eastAsia" w:eastAsia="仿宋_GB2312" w:cs="Times New Roman"/>
          <w:sz w:val="32"/>
          <w:szCs w:val="32"/>
          <w:highlight w:val="none"/>
          <w:lang w:eastAsia="zh-CN"/>
        </w:rPr>
        <w:t>。</w:t>
      </w:r>
    </w:p>
    <w:p w14:paraId="6915E80F">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指标2：地区“五个好”标准化规范化党支部“进位之星”经费补助，</w:t>
      </w:r>
      <w:r>
        <w:rPr>
          <w:rFonts w:hint="default" w:ascii="Times New Roman" w:hAnsi="Times New Roman" w:eastAsia="仿宋_GB2312" w:cs="Times New Roman"/>
          <w:sz w:val="32"/>
          <w:szCs w:val="32"/>
          <w:highlight w:val="none"/>
        </w:rPr>
        <w:t>指标值：</w:t>
      </w:r>
      <w:r>
        <w:rPr>
          <w:rFonts w:hint="eastAsia" w:eastAsia="仿宋_GB2312" w:cs="Times New Roman"/>
          <w:sz w:val="32"/>
          <w:szCs w:val="32"/>
          <w:highlight w:val="none"/>
          <w:lang w:val="en-US" w:eastAsia="zh-CN"/>
        </w:rPr>
        <w:t>3万元</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3万元</w:t>
      </w:r>
      <w:r>
        <w:rPr>
          <w:rFonts w:hint="default" w:ascii="Times New Roman" w:hAnsi="Times New Roman" w:eastAsia="仿宋_GB2312" w:cs="Times New Roman"/>
          <w:sz w:val="32"/>
          <w:szCs w:val="32"/>
          <w:highlight w:val="none"/>
        </w:rPr>
        <w:t>，指标完成</w:t>
      </w:r>
      <w:r>
        <w:rPr>
          <w:rFonts w:hint="eastAsia" w:eastAsia="仿宋_GB2312" w:cs="Times New Roman"/>
          <w:sz w:val="32"/>
          <w:szCs w:val="32"/>
          <w:highlight w:val="none"/>
          <w:lang w:val="en-US" w:eastAsia="zh-CN"/>
        </w:rPr>
        <w:t>率100</w:t>
      </w:r>
      <w:r>
        <w:rPr>
          <w:rFonts w:hint="default" w:ascii="Times New Roman" w:hAnsi="Times New Roman" w:eastAsia="仿宋_GB2312" w:cs="Times New Roman"/>
          <w:sz w:val="32"/>
          <w:szCs w:val="32"/>
          <w:highlight w:val="none"/>
        </w:rPr>
        <w:t xml:space="preserve"> %</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w:t>
      </w:r>
    </w:p>
    <w:p w14:paraId="13B303E9">
      <w:pPr>
        <w:pStyle w:val="10"/>
        <w:numPr>
          <w:ilvl w:val="0"/>
          <w:numId w:val="6"/>
        </w:numPr>
        <w:spacing w:line="560" w:lineRule="exact"/>
        <w:ind w:firstLine="643"/>
        <w:rPr>
          <w:rFonts w:hint="default" w:ascii="Times New Roman" w:hAnsi="Times New Roman" w:eastAsia="楷体_GB2312" w:cs="Times New Roman"/>
          <w:b/>
          <w:bCs/>
          <w:sz w:val="32"/>
          <w:szCs w:val="32"/>
          <w:highlight w:val="none"/>
          <w:lang w:val="en-US" w:eastAsia="zh-CN"/>
        </w:rPr>
      </w:pPr>
      <w:r>
        <w:rPr>
          <w:rFonts w:hint="default" w:ascii="Times New Roman" w:hAnsi="Times New Roman" w:eastAsia="楷体_GB2312" w:cs="Times New Roman"/>
          <w:b/>
          <w:bCs/>
          <w:sz w:val="32"/>
          <w:szCs w:val="32"/>
          <w:highlight w:val="none"/>
          <w:lang w:val="en-US" w:eastAsia="zh-CN"/>
        </w:rPr>
        <w:t>项目效益情况</w:t>
      </w:r>
    </w:p>
    <w:p w14:paraId="40800C79">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项目效益类指标包括项目实施效益和满意度两方面的内容，由</w:t>
      </w:r>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lang w:val="en-US" w:eastAsia="zh-CN"/>
        </w:rPr>
        <w:t>个三级指标构成，权重分为20分，实际得分</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%。具体效益指标及满意度指标完成情况如下：</w:t>
      </w:r>
    </w:p>
    <w:p w14:paraId="1851BCF8">
      <w:pPr>
        <w:shd w:val="clear" w:color="auto" w:fill="auto"/>
        <w:spacing w:line="600" w:lineRule="exact"/>
        <w:ind w:firstLine="640" w:firstLineChars="200"/>
        <w:outlineLvl w:val="0"/>
        <w:rPr>
          <w:rFonts w:hint="default" w:ascii="Times New Roman" w:hAnsi="Times New Roman" w:eastAsia="仿宋_GB2312" w:cs="Times New Roman"/>
          <w:color w:val="FF0000"/>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1.实施效益</w:t>
      </w:r>
    </w:p>
    <w:p w14:paraId="20B879DB">
      <w:pPr>
        <w:shd w:val="clear" w:color="auto" w:fill="auto"/>
        <w:spacing w:line="600" w:lineRule="exact"/>
        <w:ind w:firstLine="640" w:firstLineChars="200"/>
        <w:outlineLvl w:val="0"/>
        <w:rPr>
          <w:rFonts w:hint="eastAsia" w:eastAsia="仿宋_GB2312" w:cs="Times New Roman"/>
          <w:sz w:val="32"/>
          <w:szCs w:val="32"/>
          <w:highlight w:val="none"/>
          <w:lang w:val="en-US" w:eastAsia="zh-CN"/>
        </w:rPr>
      </w:pPr>
      <w:r>
        <w:rPr>
          <w:rFonts w:hint="eastAsia" w:eastAsia="仿宋_GB2312" w:cs="Times New Roman"/>
          <w:sz w:val="32"/>
          <w:szCs w:val="32"/>
          <w:highlight w:val="none"/>
          <w:lang w:val="en-US" w:eastAsia="zh-CN"/>
        </w:rPr>
        <w:t>社会效益指标：</w:t>
      </w:r>
    </w:p>
    <w:p w14:paraId="699EA529">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指标1：提升基层党支部战斗堡垒作用，</w:t>
      </w:r>
      <w:r>
        <w:rPr>
          <w:rFonts w:hint="default" w:ascii="Times New Roman" w:hAnsi="Times New Roman" w:eastAsia="仿宋_GB2312" w:cs="Times New Roman"/>
          <w:sz w:val="32"/>
          <w:szCs w:val="32"/>
          <w:highlight w:val="none"/>
        </w:rPr>
        <w:t>指标值：</w:t>
      </w:r>
      <w:r>
        <w:rPr>
          <w:rFonts w:hint="eastAsia" w:eastAsia="仿宋_GB2312" w:cs="Times New Roman"/>
          <w:sz w:val="32"/>
          <w:szCs w:val="32"/>
          <w:highlight w:val="none"/>
          <w:lang w:val="en-US" w:eastAsia="zh-CN"/>
        </w:rPr>
        <w:t>不断提升</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不断提升</w:t>
      </w:r>
      <w:r>
        <w:rPr>
          <w:rFonts w:hint="default" w:ascii="Times New Roman" w:hAnsi="Times New Roman" w:eastAsia="仿宋_GB2312" w:cs="Times New Roman"/>
          <w:sz w:val="32"/>
          <w:szCs w:val="32"/>
          <w:highlight w:val="none"/>
        </w:rPr>
        <w:t>，指标完成</w:t>
      </w:r>
      <w:r>
        <w:rPr>
          <w:rFonts w:hint="eastAsia" w:eastAsia="仿宋_GB2312" w:cs="Times New Roman"/>
          <w:sz w:val="32"/>
          <w:szCs w:val="32"/>
          <w:highlight w:val="none"/>
          <w:lang w:val="en-US" w:eastAsia="zh-CN"/>
        </w:rPr>
        <w:t>率100</w:t>
      </w:r>
      <w:r>
        <w:rPr>
          <w:rFonts w:hint="default" w:ascii="Times New Roman" w:hAnsi="Times New Roman" w:eastAsia="仿宋_GB2312" w:cs="Times New Roman"/>
          <w:sz w:val="32"/>
          <w:szCs w:val="32"/>
          <w:highlight w:val="none"/>
        </w:rPr>
        <w:t xml:space="preserve"> %</w:t>
      </w:r>
      <w:r>
        <w:rPr>
          <w:rFonts w:hint="eastAsia" w:eastAsia="仿宋_GB2312" w:cs="Times New Roman"/>
          <w:sz w:val="32"/>
          <w:szCs w:val="32"/>
          <w:highlight w:val="none"/>
          <w:lang w:eastAsia="zh-CN"/>
        </w:rPr>
        <w:t>。</w:t>
      </w:r>
    </w:p>
    <w:p w14:paraId="79307145">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600" w:lineRule="exact"/>
        <w:ind w:firstLine="640" w:firstLineChars="200"/>
        <w:textAlignment w:val="auto"/>
        <w:outlineLvl w:val="0"/>
        <w:rPr>
          <w:rFonts w:hint="eastAsia"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满意度</w:t>
      </w:r>
      <w:r>
        <w:rPr>
          <w:rFonts w:hint="eastAsia" w:eastAsia="仿宋_GB2312" w:cs="Times New Roman"/>
          <w:sz w:val="32"/>
          <w:szCs w:val="32"/>
          <w:highlight w:val="none"/>
          <w:lang w:val="en-US" w:eastAsia="zh-CN"/>
        </w:rPr>
        <w:t>：</w:t>
      </w:r>
    </w:p>
    <w:p w14:paraId="159E424B">
      <w:pPr>
        <w:numPr>
          <w:ilvl w:val="0"/>
          <w:numId w:val="0"/>
        </w:numPr>
        <w:shd w:val="clear" w:color="auto" w:fill="auto"/>
        <w:spacing w:line="600" w:lineRule="exact"/>
        <w:ind w:left="420" w:leftChars="200" w:firstLine="320" w:firstLineChars="100"/>
        <w:outlineLvl w:val="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指标1：基层党员、群众满意度，</w:t>
      </w:r>
      <w:r>
        <w:rPr>
          <w:rFonts w:hint="default" w:ascii="Times New Roman" w:hAnsi="Times New Roman" w:eastAsia="仿宋_GB2312" w:cs="Times New Roman"/>
          <w:sz w:val="32"/>
          <w:szCs w:val="32"/>
          <w:highlight w:val="none"/>
        </w:rPr>
        <w:t>指标值：</w:t>
      </w:r>
      <w:r>
        <w:rPr>
          <w:rFonts w:hint="eastAsia" w:eastAsia="仿宋_GB2312" w:cs="Times New Roman"/>
          <w:sz w:val="32"/>
          <w:szCs w:val="32"/>
          <w:highlight w:val="none"/>
          <w:lang w:val="en-US" w:eastAsia="zh-CN"/>
        </w:rPr>
        <w:t>95%</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95%</w:t>
      </w:r>
      <w:r>
        <w:rPr>
          <w:rFonts w:hint="default" w:ascii="Times New Roman" w:hAnsi="Times New Roman" w:eastAsia="仿宋_GB2312" w:cs="Times New Roman"/>
          <w:sz w:val="32"/>
          <w:szCs w:val="32"/>
          <w:highlight w:val="none"/>
        </w:rPr>
        <w:t>，指标完成</w:t>
      </w:r>
      <w:r>
        <w:rPr>
          <w:rFonts w:hint="eastAsia" w:eastAsia="仿宋_GB2312" w:cs="Times New Roman"/>
          <w:sz w:val="32"/>
          <w:szCs w:val="32"/>
          <w:highlight w:val="none"/>
          <w:lang w:val="en-US" w:eastAsia="zh-CN"/>
        </w:rPr>
        <w:t>率100</w:t>
      </w:r>
      <w:r>
        <w:rPr>
          <w:rFonts w:hint="default" w:ascii="Times New Roman" w:hAnsi="Times New Roman" w:eastAsia="仿宋_GB2312" w:cs="Times New Roman"/>
          <w:sz w:val="32"/>
          <w:szCs w:val="32"/>
          <w:highlight w:val="none"/>
        </w:rPr>
        <w:t xml:space="preserve"> %</w:t>
      </w:r>
    </w:p>
    <w:p w14:paraId="352D7D2A">
      <w:pPr>
        <w:spacing w:line="560" w:lineRule="exact"/>
        <w:ind w:firstLine="643" w:firstLineChars="200"/>
        <w:rPr>
          <w:rFonts w:hint="default" w:ascii="Times New Roman" w:hAnsi="Times New Roman" w:eastAsia="楷体_GB2312" w:cs="Times New Roman"/>
          <w:b/>
          <w:bCs/>
          <w:sz w:val="32"/>
          <w:szCs w:val="32"/>
          <w:highlight w:val="none"/>
          <w:lang w:val="en-US"/>
        </w:rPr>
      </w:pPr>
      <w:r>
        <w:rPr>
          <w:rFonts w:hint="default" w:ascii="Times New Roman" w:hAnsi="Times New Roman" w:eastAsia="楷体_GB2312" w:cs="Times New Roman"/>
          <w:b/>
          <w:bCs/>
          <w:sz w:val="32"/>
          <w:szCs w:val="32"/>
          <w:highlight w:val="none"/>
          <w:lang w:val="en-US" w:eastAsia="zh-CN"/>
        </w:rPr>
        <w:t>（五）</w:t>
      </w:r>
      <w:r>
        <w:rPr>
          <w:rFonts w:hint="default" w:ascii="Times New Roman" w:hAnsi="Times New Roman" w:eastAsia="楷体_GB2312" w:cs="Times New Roman"/>
          <w:b/>
          <w:bCs/>
          <w:sz w:val="32"/>
          <w:szCs w:val="32"/>
          <w:highlight w:val="none"/>
          <w:lang w:val="en-US"/>
        </w:rPr>
        <w:t>预算执行进度与绩效指标总体完成率偏差</w:t>
      </w:r>
    </w:p>
    <w:p w14:paraId="69095C8B">
      <w:pPr>
        <w:pStyle w:val="20"/>
        <w:spacing w:line="560" w:lineRule="exact"/>
        <w:ind w:firstLine="640"/>
        <w:rPr>
          <w:rFonts w:hint="default" w:ascii="Times New Roman" w:hAnsi="Times New Roman" w:eastAsia="方正仿宋_GBK" w:cs="Times New Roman"/>
          <w:sz w:val="32"/>
          <w:szCs w:val="32"/>
          <w:highlight w:val="none"/>
        </w:rPr>
      </w:pPr>
      <w:r>
        <w:rPr>
          <w:rFonts w:hint="eastAsia" w:eastAsia="方正仿宋_GBK" w:cs="Times New Roman"/>
          <w:sz w:val="32"/>
          <w:szCs w:val="32"/>
          <w:highlight w:val="none"/>
          <w:lang w:val="en-US" w:eastAsia="zh-CN"/>
        </w:rPr>
        <w:t>五个好标准化规范化党支部“进位之星”经费</w:t>
      </w:r>
      <w:r>
        <w:rPr>
          <w:rFonts w:hint="default" w:ascii="Times New Roman" w:hAnsi="Times New Roman" w:eastAsia="方正仿宋_GBK" w:cs="Times New Roman"/>
          <w:sz w:val="32"/>
          <w:szCs w:val="32"/>
          <w:highlight w:val="none"/>
        </w:rPr>
        <w:t>项目年初预算</w:t>
      </w:r>
      <w:r>
        <w:rPr>
          <w:rFonts w:hint="eastAsia" w:eastAsia="方正仿宋_GBK" w:cs="Times New Roman"/>
          <w:sz w:val="32"/>
          <w:szCs w:val="32"/>
          <w:highlight w:val="none"/>
          <w:lang w:val="en-US" w:eastAsia="zh-CN"/>
        </w:rPr>
        <w:t>0</w:t>
      </w:r>
      <w:r>
        <w:rPr>
          <w:rFonts w:hint="default" w:ascii="Times New Roman" w:hAnsi="Times New Roman" w:eastAsia="方正仿宋_GBK" w:cs="Times New Roman"/>
          <w:sz w:val="32"/>
          <w:szCs w:val="32"/>
          <w:highlight w:val="none"/>
        </w:rPr>
        <w:t>万元，全年预算</w:t>
      </w:r>
      <w:r>
        <w:rPr>
          <w:rFonts w:hint="eastAsia" w:eastAsia="方正仿宋_GBK" w:cs="Times New Roman"/>
          <w:sz w:val="32"/>
          <w:szCs w:val="32"/>
          <w:highlight w:val="none"/>
          <w:lang w:val="en-US" w:eastAsia="zh-CN"/>
        </w:rPr>
        <w:t>27</w:t>
      </w:r>
      <w:r>
        <w:rPr>
          <w:rFonts w:hint="default" w:ascii="Times New Roman" w:hAnsi="Times New Roman" w:eastAsia="方正仿宋_GBK" w:cs="Times New Roman"/>
          <w:sz w:val="32"/>
          <w:szCs w:val="32"/>
          <w:highlight w:val="none"/>
        </w:rPr>
        <w:t>万元，实际支出</w:t>
      </w:r>
      <w:r>
        <w:rPr>
          <w:rFonts w:hint="eastAsia" w:eastAsia="方正仿宋_GBK" w:cs="Times New Roman"/>
          <w:sz w:val="32"/>
          <w:szCs w:val="32"/>
          <w:highlight w:val="none"/>
          <w:lang w:val="en-US" w:eastAsia="zh-CN"/>
        </w:rPr>
        <w:t>27</w:t>
      </w:r>
      <w:r>
        <w:rPr>
          <w:rFonts w:hint="default" w:ascii="Times New Roman" w:hAnsi="Times New Roman" w:eastAsia="方正仿宋_GBK" w:cs="Times New Roman"/>
          <w:sz w:val="32"/>
          <w:szCs w:val="32"/>
          <w:highlight w:val="none"/>
        </w:rPr>
        <w:t>万元，预算执行率为</w:t>
      </w:r>
      <w:r>
        <w:rPr>
          <w:rFonts w:hint="eastAsia" w:eastAsia="方正仿宋_GBK" w:cs="Times New Roman"/>
          <w:sz w:val="32"/>
          <w:szCs w:val="32"/>
          <w:highlight w:val="none"/>
          <w:lang w:val="en-US" w:eastAsia="zh-CN"/>
        </w:rPr>
        <w:t>100</w:t>
      </w:r>
      <w:r>
        <w:rPr>
          <w:rFonts w:hint="default" w:ascii="Times New Roman" w:hAnsi="Times New Roman" w:eastAsia="方正仿宋_GBK" w:cs="Times New Roman"/>
          <w:sz w:val="32"/>
          <w:szCs w:val="32"/>
          <w:highlight w:val="none"/>
        </w:rPr>
        <w:t>%，项目绩效指标总体完成率为</w:t>
      </w:r>
      <w:r>
        <w:rPr>
          <w:rFonts w:hint="eastAsia" w:eastAsia="方正仿宋_GBK" w:cs="Times New Roman"/>
          <w:sz w:val="32"/>
          <w:szCs w:val="32"/>
          <w:highlight w:val="none"/>
          <w:lang w:val="en-US" w:eastAsia="zh-CN"/>
        </w:rPr>
        <w:t>100</w:t>
      </w:r>
      <w:r>
        <w:rPr>
          <w:rFonts w:hint="default" w:ascii="Times New Roman" w:hAnsi="Times New Roman" w:eastAsia="方正仿宋_GBK" w:cs="Times New Roman"/>
          <w:sz w:val="32"/>
          <w:szCs w:val="32"/>
          <w:highlight w:val="none"/>
        </w:rPr>
        <w:t>%，总体偏差率为</w:t>
      </w:r>
      <w:r>
        <w:rPr>
          <w:rFonts w:hint="eastAsia" w:eastAsia="方正仿宋_GBK" w:cs="Times New Roman"/>
          <w:sz w:val="32"/>
          <w:szCs w:val="32"/>
          <w:highlight w:val="none"/>
          <w:lang w:val="en-US" w:eastAsia="zh-CN"/>
        </w:rPr>
        <w:t>0</w:t>
      </w:r>
      <w:r>
        <w:rPr>
          <w:rFonts w:hint="default" w:ascii="Times New Roman" w:hAnsi="Times New Roman" w:eastAsia="方正仿宋_GBK" w:cs="Times New Roman"/>
          <w:sz w:val="32"/>
          <w:szCs w:val="32"/>
          <w:highlight w:val="none"/>
        </w:rPr>
        <w:t>%。</w:t>
      </w:r>
    </w:p>
    <w:p w14:paraId="75EB6280">
      <w:pPr>
        <w:spacing w:line="560" w:lineRule="exact"/>
        <w:ind w:firstLine="640" w:firstLineChars="200"/>
        <w:rPr>
          <w:rStyle w:val="19"/>
          <w:rFonts w:hint="default" w:ascii="Times New Roman" w:hAnsi="Times New Roman" w:cs="Times New Roman"/>
          <w:color w:val="auto"/>
          <w:highlight w:val="none"/>
        </w:rPr>
      </w:pPr>
      <w:r>
        <w:rPr>
          <w:rFonts w:hint="eastAsia" w:eastAsia="黑体" w:cs="Times New Roman"/>
          <w:sz w:val="32"/>
          <w:szCs w:val="32"/>
          <w:highlight w:val="none"/>
          <w:lang w:val="en-US" w:eastAsia="zh-CN"/>
        </w:rPr>
        <w:t>五</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黑体" w:cs="Times New Roman"/>
          <w:sz w:val="32"/>
          <w:szCs w:val="32"/>
          <w:highlight w:val="none"/>
        </w:rPr>
        <w:t>主要经验及做法、存在的问题及原因分析</w:t>
      </w:r>
    </w:p>
    <w:p w14:paraId="302B53E5">
      <w:pPr>
        <w:spacing w:line="560" w:lineRule="exact"/>
        <w:ind w:firstLine="627" w:firstLineChars="200"/>
        <w:rPr>
          <w:rFonts w:hint="default" w:ascii="Times New Roman" w:hAnsi="Times New Roman" w:eastAsia="楷体" w:cs="Times New Roman"/>
          <w:b/>
          <w:spacing w:val="-4"/>
          <w:sz w:val="32"/>
          <w:szCs w:val="32"/>
          <w:highlight w:val="none"/>
        </w:rPr>
      </w:pPr>
      <w:r>
        <w:rPr>
          <w:rFonts w:hint="default" w:ascii="Times New Roman" w:hAnsi="Times New Roman" w:eastAsia="楷体" w:cs="Times New Roman"/>
          <w:b/>
          <w:spacing w:val="-4"/>
          <w:sz w:val="32"/>
          <w:szCs w:val="32"/>
          <w:highlight w:val="none"/>
        </w:rPr>
        <w:t>（一）主要经验及做法</w:t>
      </w:r>
    </w:p>
    <w:p w14:paraId="6D578502">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14:paraId="1905BE83">
      <w:pPr>
        <w:pStyle w:val="9"/>
        <w:spacing w:before="0" w:after="0" w:line="560" w:lineRule="exact"/>
        <w:ind w:firstLine="640" w:firstLineChars="200"/>
        <w:jc w:val="left"/>
        <w:rPr>
          <w:rFonts w:hint="default" w:ascii="Times New Roman" w:hAnsi="Times New Roman" w:eastAsia="仿宋_GB2312" w:cs="Times New Roman"/>
          <w:b w:val="0"/>
          <w:bCs w:val="0"/>
          <w:kern w:val="2"/>
          <w:highlight w:val="none"/>
        </w:rPr>
      </w:pPr>
      <w:r>
        <w:rPr>
          <w:rFonts w:hint="default" w:ascii="Times New Roman" w:hAnsi="Times New Roman" w:eastAsia="仿宋_GB2312" w:cs="Times New Roman"/>
          <w:b w:val="0"/>
          <w:bCs w:val="0"/>
          <w:kern w:val="2"/>
          <w:highlight w:val="none"/>
        </w:rPr>
        <w:t>严格坚持先做事、后验收、再拨付的原则，</w:t>
      </w:r>
      <w:r>
        <w:rPr>
          <w:rFonts w:hint="eastAsia" w:ascii="Times New Roman" w:hAnsi="Times New Roman" w:eastAsia="仿宋_GB2312" w:cs="Times New Roman"/>
          <w:b w:val="0"/>
          <w:bCs w:val="0"/>
          <w:kern w:val="2"/>
          <w:highlight w:val="none"/>
          <w:lang w:eastAsia="zh-CN"/>
        </w:rPr>
        <w:t>杜绝</w:t>
      </w:r>
      <w:r>
        <w:rPr>
          <w:rFonts w:hint="default" w:ascii="Times New Roman" w:hAnsi="Times New Roman" w:eastAsia="仿宋_GB2312" w:cs="Times New Roman"/>
          <w:b w:val="0"/>
          <w:bCs w:val="0"/>
          <w:kern w:val="2"/>
          <w:highlight w:val="none"/>
        </w:rPr>
        <w:t>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14:paraId="4EE295C3">
      <w:pPr>
        <w:keepNext/>
        <w:keepLines/>
        <w:numPr>
          <w:ilvl w:val="0"/>
          <w:numId w:val="7"/>
        </w:numPr>
        <w:spacing w:line="560" w:lineRule="exact"/>
        <w:ind w:firstLine="643" w:firstLineChars="200"/>
        <w:rPr>
          <w:rFonts w:hint="default" w:ascii="Times New Roman" w:hAnsi="Times New Roman" w:eastAsia="楷体_GB2312" w:cs="Times New Roman"/>
          <w:b/>
          <w:bCs/>
          <w:sz w:val="32"/>
          <w:szCs w:val="32"/>
          <w:highlight w:val="none"/>
        </w:rPr>
      </w:pPr>
      <w:r>
        <w:rPr>
          <w:rFonts w:hint="default" w:ascii="Times New Roman" w:hAnsi="Times New Roman" w:eastAsia="楷体_GB2312" w:cs="Times New Roman"/>
          <w:b/>
          <w:bCs/>
          <w:sz w:val="32"/>
          <w:szCs w:val="32"/>
          <w:highlight w:val="none"/>
        </w:rPr>
        <w:t>存在的问题及原因分析</w:t>
      </w:r>
    </w:p>
    <w:p w14:paraId="7B3B5ED0">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w:t>
      </w:r>
    </w:p>
    <w:p w14:paraId="77622A65">
      <w:pPr>
        <w:spacing w:line="560" w:lineRule="exact"/>
        <w:ind w:firstLine="640" w:firstLineChars="200"/>
        <w:rPr>
          <w:rFonts w:hint="default" w:ascii="Times New Roman" w:hAnsi="Times New Roman" w:eastAsia="黑体" w:cs="Times New Roman"/>
          <w:sz w:val="32"/>
          <w:szCs w:val="32"/>
          <w:highlight w:val="none"/>
        </w:rPr>
      </w:pPr>
      <w:r>
        <w:rPr>
          <w:rFonts w:hint="eastAsia" w:ascii="Times New Roman" w:hAnsi="Times New Roman" w:eastAsia="黑体" w:cs="Times New Roman"/>
          <w:sz w:val="32"/>
          <w:szCs w:val="32"/>
          <w:highlight w:val="none"/>
          <w:lang w:val="en-US" w:eastAsia="zh-CN"/>
        </w:rPr>
        <w:t>六</w:t>
      </w:r>
      <w:r>
        <w:rPr>
          <w:rFonts w:hint="default" w:ascii="Times New Roman" w:hAnsi="Times New Roman" w:eastAsia="黑体" w:cs="Times New Roman"/>
          <w:sz w:val="32"/>
          <w:szCs w:val="32"/>
          <w:highlight w:val="none"/>
          <w:lang w:val="en-US" w:eastAsia="zh-CN"/>
        </w:rPr>
        <w:t>.</w:t>
      </w:r>
      <w:r>
        <w:rPr>
          <w:rFonts w:hint="default" w:ascii="Times New Roman" w:hAnsi="Times New Roman" w:eastAsia="黑体" w:cs="Times New Roman"/>
          <w:sz w:val="32"/>
          <w:szCs w:val="32"/>
          <w:highlight w:val="none"/>
        </w:rPr>
        <w:t>有关建议</w:t>
      </w:r>
    </w:p>
    <w:p w14:paraId="41FF7480">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1.多进行有关绩效管理工作方面的培训。积极组织第三方开展绩效管理工作培训，进一步夯实业务基础，提高我单位绩效人员水平。</w:t>
      </w:r>
    </w:p>
    <w:p w14:paraId="29612063">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lang w:val="en-US" w:eastAsia="zh-CN"/>
        </w:rPr>
        <w:t>.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r>
    </w:p>
    <w:p w14:paraId="76C17A34">
      <w:pPr>
        <w:shd w:val="clear" w:color="auto" w:fill="auto"/>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3</w:t>
      </w:r>
      <w:r>
        <w:rPr>
          <w:rFonts w:hint="default" w:ascii="Times New Roman" w:hAnsi="Times New Roman" w:eastAsia="仿宋_GB2312" w:cs="Times New Roman"/>
          <w:sz w:val="32"/>
          <w:szCs w:val="32"/>
          <w:highlight w:val="none"/>
          <w:lang w:val="en-US" w:eastAsia="zh-CN"/>
        </w:rPr>
        <w:t>.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14:paraId="2863E1F6">
      <w:pPr>
        <w:spacing w:line="560" w:lineRule="exact"/>
        <w:ind w:firstLine="640" w:firstLineChars="200"/>
        <w:rPr>
          <w:rFonts w:hint="default" w:ascii="Times New Roman" w:hAnsi="Times New Roman" w:eastAsia="黑体" w:cs="Times New Roman"/>
          <w:sz w:val="32"/>
          <w:szCs w:val="32"/>
          <w:highlight w:val="none"/>
        </w:rPr>
      </w:pPr>
      <w:r>
        <w:rPr>
          <w:rFonts w:hint="eastAsia" w:eastAsia="黑体" w:cs="Times New Roman"/>
          <w:sz w:val="32"/>
          <w:szCs w:val="32"/>
          <w:highlight w:val="none"/>
          <w:lang w:val="en-US" w:eastAsia="zh-CN"/>
        </w:rPr>
        <w:t>七</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黑体" w:cs="Times New Roman"/>
          <w:sz w:val="32"/>
          <w:szCs w:val="32"/>
          <w:highlight w:val="none"/>
        </w:rPr>
        <w:t>其他需要说</w:t>
      </w:r>
      <w:bookmarkStart w:id="0" w:name="page8"/>
      <w:bookmarkEnd w:id="0"/>
      <w:r>
        <w:rPr>
          <w:rFonts w:hint="default" w:ascii="Times New Roman" w:hAnsi="Times New Roman" w:eastAsia="黑体" w:cs="Times New Roman"/>
          <w:sz w:val="32"/>
          <w:szCs w:val="32"/>
          <w:highlight w:val="none"/>
        </w:rPr>
        <w:t>明的问题</w:t>
      </w:r>
    </w:p>
    <w:p w14:paraId="03398AB1">
      <w:pPr>
        <w:pStyle w:val="11"/>
        <w:spacing w:after="0" w:line="560" w:lineRule="exact"/>
        <w:ind w:left="0" w:leftChars="0" w:firstLine="64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本项目无其他需说明的问题。</w:t>
      </w:r>
    </w:p>
    <w:p w14:paraId="314ECBE5">
      <w:pPr>
        <w:pStyle w:val="11"/>
        <w:spacing w:after="0" w:line="560" w:lineRule="exact"/>
        <w:ind w:left="0" w:leftChars="0" w:firstLine="640"/>
        <w:rPr>
          <w:rFonts w:hint="eastAsia" w:ascii="Times New Roman" w:hAnsi="Times New Roman" w:eastAsia="仿宋_GB2312" w:cs="Times New Roman"/>
          <w:sz w:val="32"/>
          <w:szCs w:val="32"/>
          <w:highlight w:val="none"/>
          <w:lang w:eastAsia="zh-CN"/>
        </w:rPr>
      </w:pPr>
    </w:p>
    <w:p w14:paraId="5B132E82">
      <w:pPr>
        <w:pStyle w:val="11"/>
        <w:spacing w:after="0" w:line="560" w:lineRule="exact"/>
        <w:ind w:left="0" w:leftChars="0" w:firstLine="640"/>
        <w:rPr>
          <w:rFonts w:hint="eastAsia" w:ascii="Times New Roman" w:hAnsi="Times New Roman" w:eastAsia="仿宋_GB2312" w:cs="Times New Roman"/>
          <w:sz w:val="32"/>
          <w:szCs w:val="32"/>
          <w:highlight w:val="none"/>
          <w:lang w:eastAsia="zh-CN"/>
        </w:rPr>
      </w:pPr>
    </w:p>
    <w:p w14:paraId="1678C2EF">
      <w:pPr>
        <w:pStyle w:val="11"/>
        <w:spacing w:after="0" w:line="560" w:lineRule="exact"/>
        <w:ind w:left="0" w:leftChars="0" w:firstLine="640"/>
        <w:rPr>
          <w:rFonts w:hint="eastAsia" w:ascii="Times New Roman" w:hAnsi="Times New Roman" w:eastAsia="仿宋_GB2312" w:cs="Times New Roman"/>
          <w:sz w:val="32"/>
          <w:szCs w:val="32"/>
          <w:highlight w:val="none"/>
          <w:lang w:eastAsia="zh-CN"/>
        </w:rPr>
      </w:pPr>
    </w:p>
    <w:p w14:paraId="31CA224C">
      <w:pPr>
        <w:spacing w:line="600" w:lineRule="exact"/>
        <w:rPr>
          <w:rFonts w:hint="eastAsia" w:ascii="Times New Roman" w:hAnsi="Times New Roman" w:eastAsia="黑体" w:cs="Times New Roman"/>
          <w:sz w:val="32"/>
          <w:szCs w:val="32"/>
          <w:highlight w:val="none"/>
          <w:lang w:val="en-US" w:eastAsia="zh-CN"/>
        </w:rPr>
        <w:sectPr>
          <w:footerReference r:id="rId3" w:type="default"/>
          <w:pgSz w:w="11906" w:h="16838"/>
          <w:pgMar w:top="1440" w:right="1558" w:bottom="1440" w:left="1800" w:header="851" w:footer="992" w:gutter="0"/>
          <w:pgNumType w:start="1"/>
          <w:cols w:space="425" w:num="1"/>
          <w:docGrid w:type="lines" w:linePitch="312" w:charSpace="0"/>
        </w:sectPr>
      </w:pPr>
      <w:bookmarkStart w:id="1" w:name="_GoBack"/>
      <w:bookmarkEnd w:id="1"/>
    </w:p>
    <w:p w14:paraId="44CA3DE5">
      <w:pPr>
        <w:rPr>
          <w:rFonts w:hint="default" w:ascii="Times New Roman" w:hAnsi="Times New Roman" w:cs="Times New Roman"/>
          <w:highlight w:val="none"/>
        </w:rPr>
      </w:pPr>
    </w:p>
    <w:sectPr>
      <w:pgSz w:w="16838" w:h="11906" w:orient="landscape"/>
      <w:pgMar w:top="1800" w:right="1440" w:bottom="155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832D70F4-934F-43BD-9B8E-624D22DCD7A2}"/>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2" w:fontKey="{7667724A-67EC-4820-A48E-44C9DEA3353F}"/>
  </w:font>
  <w:font w:name="华文中宋">
    <w:altName w:val="宋体"/>
    <w:panose1 w:val="02010600040101010101"/>
    <w:charset w:val="86"/>
    <w:family w:val="auto"/>
    <w:pitch w:val="default"/>
    <w:sig w:usb0="00000000" w:usb1="00000000" w:usb2="00000000" w:usb3="00000000" w:csb0="0004009F" w:csb1="DFD70000"/>
    <w:embedRegular r:id="rId3" w:fontKey="{C480579C-B44F-4906-9A80-CC65E39E17E3}"/>
  </w:font>
  <w:font w:name="方正小标宋_GBK">
    <w:panose1 w:val="02000000000000000000"/>
    <w:charset w:val="86"/>
    <w:family w:val="script"/>
    <w:pitch w:val="default"/>
    <w:sig w:usb0="A00002BF" w:usb1="38CF7CFA" w:usb2="00082016" w:usb3="00000000" w:csb0="00040001" w:csb1="00000000"/>
    <w:embedRegular r:id="rId4" w:fontKey="{20790753-814C-4DA9-9112-C4A60A776BC1}"/>
  </w:font>
  <w:font w:name="楷体_GB2312">
    <w:panose1 w:val="02010609030101010101"/>
    <w:charset w:val="86"/>
    <w:family w:val="auto"/>
    <w:pitch w:val="default"/>
    <w:sig w:usb0="00000001" w:usb1="080E0000" w:usb2="00000000" w:usb3="00000000" w:csb0="00040000" w:csb1="00000000"/>
    <w:embedRegular r:id="rId5" w:fontKey="{59DFDD1B-152C-4159-91CF-58C977D682F3}"/>
  </w:font>
  <w:font w:name="方正仿宋_GBK">
    <w:panose1 w:val="02000000000000000000"/>
    <w:charset w:val="86"/>
    <w:family w:val="auto"/>
    <w:pitch w:val="default"/>
    <w:sig w:usb0="A00002BF" w:usb1="38CF7CFA" w:usb2="00082016" w:usb3="00000000" w:csb0="00040001" w:csb1="00000000"/>
    <w:embedRegular r:id="rId6" w:fontKey="{BA7CB5B1-291A-4659-9F8A-B960F4FBEFEE}"/>
  </w:font>
  <w:font w:name="楷体">
    <w:panose1 w:val="02010609060101010101"/>
    <w:charset w:val="86"/>
    <w:family w:val="modern"/>
    <w:pitch w:val="default"/>
    <w:sig w:usb0="800002BF" w:usb1="38CF7CFA" w:usb2="00000016" w:usb3="00000000" w:csb0="00040001" w:csb1="00000000"/>
    <w:embedRegular r:id="rId7" w:fontKey="{BBB4D624-BBFB-4BB1-9970-94A5D0FF671F}"/>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468962"/>
    </w:sdtPr>
    <w:sdtContent>
      <w:p w14:paraId="3CA1E953">
        <w:pPr>
          <w:pStyle w:val="6"/>
          <w:jc w:val="center"/>
        </w:pPr>
        <w:r>
          <w:fldChar w:fldCharType="begin"/>
        </w:r>
        <w:r>
          <w:instrText xml:space="preserve">PAGE   \* MERGEFORMAT</w:instrText>
        </w:r>
        <w:r>
          <w:fldChar w:fldCharType="separate"/>
        </w:r>
        <w:r>
          <w:rPr>
            <w:lang w:val="zh-CN"/>
          </w:rPr>
          <w:t>13</w:t>
        </w:r>
        <w:r>
          <w:fldChar w:fldCharType="end"/>
        </w:r>
      </w:p>
    </w:sdtContent>
  </w:sdt>
  <w:p w14:paraId="4B682692">
    <w:pPr>
      <w:pStyle w:val="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5E306ED"/>
    <w:multiLevelType w:val="singleLevel"/>
    <w:tmpl w:val="B5E306ED"/>
    <w:lvl w:ilvl="0" w:tentative="0">
      <w:start w:val="3"/>
      <w:numFmt w:val="chineseCounting"/>
      <w:suff w:val="nothing"/>
      <w:lvlText w:val="%1、"/>
      <w:lvlJc w:val="left"/>
      <w:rPr>
        <w:rFonts w:hint="eastAsia"/>
      </w:rPr>
    </w:lvl>
  </w:abstractNum>
  <w:abstractNum w:abstractNumId="1">
    <w:nsid w:val="BF205925"/>
    <w:multiLevelType w:val="singleLevel"/>
    <w:tmpl w:val="BF205925"/>
    <w:lvl w:ilvl="0" w:tentative="0">
      <w:start w:val="3"/>
      <w:numFmt w:val="chineseCounting"/>
      <w:suff w:val="nothing"/>
      <w:lvlText w:val="（%1）"/>
      <w:lvlJc w:val="left"/>
      <w:rPr>
        <w:rFonts w:hint="eastAsia"/>
      </w:rPr>
    </w:lvl>
  </w:abstractNum>
  <w:abstractNum w:abstractNumId="2">
    <w:nsid w:val="CF092B84"/>
    <w:multiLevelType w:val="singleLevel"/>
    <w:tmpl w:val="CF092B84"/>
    <w:lvl w:ilvl="0" w:tentative="0">
      <w:start w:val="1"/>
      <w:numFmt w:val="decimal"/>
      <w:suff w:val="nothing"/>
      <w:lvlText w:val="（%1）"/>
      <w:lvlJc w:val="left"/>
    </w:lvl>
  </w:abstractNum>
  <w:abstractNum w:abstractNumId="3">
    <w:nsid w:val="0053208E"/>
    <w:multiLevelType w:val="singleLevel"/>
    <w:tmpl w:val="0053208E"/>
    <w:lvl w:ilvl="0" w:tentative="0">
      <w:start w:val="2"/>
      <w:numFmt w:val="decimal"/>
      <w:lvlText w:val="%1."/>
      <w:lvlJc w:val="left"/>
      <w:pPr>
        <w:tabs>
          <w:tab w:val="left" w:pos="312"/>
        </w:tabs>
      </w:pPr>
    </w:lvl>
  </w:abstractNum>
  <w:abstractNum w:abstractNumId="4">
    <w:nsid w:val="03D62ECE"/>
    <w:multiLevelType w:val="singleLevel"/>
    <w:tmpl w:val="03D62ECE"/>
    <w:lvl w:ilvl="0" w:tentative="0">
      <w:start w:val="2"/>
      <w:numFmt w:val="chineseCounting"/>
      <w:suff w:val="nothing"/>
      <w:lvlText w:val="（%1）"/>
      <w:lvlJc w:val="left"/>
      <w:rPr>
        <w:rFonts w:hint="eastAsia"/>
      </w:rPr>
    </w:lvl>
  </w:abstractNum>
  <w:abstractNum w:abstractNumId="5">
    <w:nsid w:val="25B654F3"/>
    <w:multiLevelType w:val="singleLevel"/>
    <w:tmpl w:val="25B654F3"/>
    <w:lvl w:ilvl="0" w:tentative="0">
      <w:start w:val="2"/>
      <w:numFmt w:val="chineseCounting"/>
      <w:suff w:val="nothing"/>
      <w:lvlText w:val="（%1）"/>
      <w:lvlJc w:val="left"/>
      <w:rPr>
        <w:rFonts w:hint="eastAsia"/>
      </w:rPr>
    </w:lvl>
  </w:abstractNum>
  <w:abstractNum w:abstractNumId="6">
    <w:nsid w:val="59ADCABA"/>
    <w:multiLevelType w:val="singleLevel"/>
    <w:tmpl w:val="59ADCABA"/>
    <w:lvl w:ilvl="0" w:tentative="0">
      <w:start w:val="1"/>
      <w:numFmt w:val="chineseCounting"/>
      <w:suff w:val="nothing"/>
      <w:lvlText w:val="（%1）"/>
      <w:lvlJc w:val="left"/>
      <w:rPr>
        <w:rFonts w:hint="eastAsia"/>
      </w:rPr>
    </w:lvl>
  </w:abstractNum>
  <w:num w:numId="1">
    <w:abstractNumId w:val="3"/>
  </w:num>
  <w:num w:numId="2">
    <w:abstractNumId w:val="2"/>
  </w:num>
  <w:num w:numId="3">
    <w:abstractNumId w:val="6"/>
  </w:num>
  <w:num w:numId="4">
    <w:abstractNumId w:val="1"/>
  </w:num>
  <w:num w:numId="5">
    <w:abstractNumId w:val="0"/>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NotTrackMove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diOGM5NzlhN2JhOTc3OTljZTBmY2FhN2MzNTk3ODEifQ=="/>
  </w:docVars>
  <w:rsids>
    <w:rsidRoot w:val="00000000"/>
    <w:rsid w:val="5ACA6B97"/>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3">
    <w:name w:val="Body Text"/>
    <w:basedOn w:val="1"/>
    <w:qFormat/>
    <w:uiPriority w:val="0"/>
    <w:pPr>
      <w:spacing w:after="120"/>
    </w:pPr>
  </w:style>
  <w:style w:type="paragraph" w:styleId="4">
    <w:name w:val="Body Text Indent"/>
    <w:basedOn w:val="1"/>
    <w:qFormat/>
    <w:uiPriority w:val="0"/>
    <w:pPr>
      <w:spacing w:after="120"/>
      <w:ind w:left="420" w:leftChars="200"/>
    </w:pPr>
    <w:rPr>
      <w:rFonts w:ascii="Calibri" w:hAnsi="Calibri"/>
    </w:rPr>
  </w:style>
  <w:style w:type="paragraph" w:styleId="5">
    <w:name w:val="Balloon Text"/>
    <w:basedOn w:val="1"/>
    <w:link w:val="21"/>
    <w:qFormat/>
    <w:uiPriority w:val="0"/>
    <w:rPr>
      <w:sz w:val="18"/>
      <w:szCs w:val="18"/>
    </w:rPr>
  </w:style>
  <w:style w:type="paragraph" w:styleId="6">
    <w:name w:val="footer"/>
    <w:basedOn w:val="1"/>
    <w:unhideWhenUsed/>
    <w:qFormat/>
    <w:uiPriority w:val="99"/>
    <w:pPr>
      <w:tabs>
        <w:tab w:val="center" w:pos="4153"/>
        <w:tab w:val="right" w:pos="8306"/>
      </w:tabs>
      <w:snapToGrid w:val="0"/>
      <w:jc w:val="left"/>
    </w:pPr>
    <w:rPr>
      <w:rFonts w:ascii="Calibri" w:hAnsi="Calibri"/>
      <w:sz w:val="18"/>
      <w:szCs w:val="18"/>
    </w:rPr>
  </w:style>
  <w:style w:type="paragraph" w:styleId="7">
    <w:name w:val="header"/>
    <w:basedOn w:val="1"/>
    <w:link w:val="22"/>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spacing w:before="0" w:beforeAutospacing="1" w:after="0" w:afterAutospacing="1"/>
      <w:ind w:left="0" w:right="0"/>
      <w:jc w:val="left"/>
    </w:pPr>
    <w:rPr>
      <w:kern w:val="0"/>
      <w:sz w:val="24"/>
      <w:lang w:val="en-US" w:eastAsia="zh-CN"/>
    </w:rPr>
  </w:style>
  <w:style w:type="paragraph" w:styleId="9">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0">
    <w:name w:val="Body Text First Indent"/>
    <w:basedOn w:val="3"/>
    <w:qFormat/>
    <w:uiPriority w:val="0"/>
    <w:pPr>
      <w:spacing w:after="0"/>
      <w:ind w:firstLine="200" w:firstLineChars="200"/>
    </w:pPr>
  </w:style>
  <w:style w:type="paragraph" w:styleId="11">
    <w:name w:val="Body Text First Indent 2"/>
    <w:basedOn w:val="4"/>
    <w:qFormat/>
    <w:uiPriority w:val="0"/>
    <w:pPr>
      <w:ind w:firstLine="420" w:firstLineChars="200"/>
    </w:pPr>
  </w:style>
  <w:style w:type="table" w:styleId="13">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5">
    <w:name w:val="Strong"/>
    <w:basedOn w:val="14"/>
    <w:qFormat/>
    <w:uiPriority w:val="0"/>
    <w:rPr>
      <w:b/>
      <w:bCs/>
    </w:rPr>
  </w:style>
  <w:style w:type="paragraph" w:customStyle="1" w:styleId="16">
    <w:name w:val="Comment Text"/>
    <w:basedOn w:val="1"/>
    <w:link w:val="23"/>
    <w:qFormat/>
    <w:uiPriority w:val="0"/>
    <w:pPr>
      <w:jc w:val="left"/>
    </w:pPr>
  </w:style>
  <w:style w:type="paragraph" w:customStyle="1" w:styleId="17">
    <w:name w:val="Comment Subject"/>
    <w:basedOn w:val="16"/>
    <w:next w:val="16"/>
    <w:link w:val="24"/>
    <w:qFormat/>
    <w:uiPriority w:val="0"/>
    <w:rPr>
      <w:b/>
      <w:bCs/>
    </w:rPr>
  </w:style>
  <w:style w:type="character" w:customStyle="1" w:styleId="18">
    <w:name w:val="Comment Reference"/>
    <w:basedOn w:val="14"/>
    <w:qFormat/>
    <w:uiPriority w:val="0"/>
    <w:rPr>
      <w:sz w:val="21"/>
      <w:szCs w:val="21"/>
    </w:rPr>
  </w:style>
  <w:style w:type="character" w:customStyle="1" w:styleId="19">
    <w:name w:val="fontstyle01"/>
    <w:qFormat/>
    <w:uiPriority w:val="0"/>
    <w:rPr>
      <w:rFonts w:ascii="仿宋_GB2312" w:hAnsi="仿宋_GB2312" w:eastAsia="仿宋_GB2312" w:cs="仿宋_GB2312"/>
      <w:color w:val="000000"/>
      <w:sz w:val="32"/>
      <w:szCs w:val="32"/>
    </w:rPr>
  </w:style>
  <w:style w:type="paragraph" w:customStyle="1" w:styleId="20">
    <w:name w:val="闻政-正文段落文字"/>
    <w:basedOn w:val="1"/>
    <w:qFormat/>
    <w:uiPriority w:val="3"/>
    <w:pPr>
      <w:spacing w:line="500" w:lineRule="exact"/>
      <w:ind w:firstLine="200"/>
    </w:pPr>
    <w:rPr>
      <w:kern w:val="0"/>
      <w:szCs w:val="28"/>
    </w:rPr>
  </w:style>
  <w:style w:type="character" w:customStyle="1" w:styleId="21">
    <w:name w:val="批注框文本 字符"/>
    <w:basedOn w:val="14"/>
    <w:link w:val="5"/>
    <w:qFormat/>
    <w:uiPriority w:val="0"/>
    <w:rPr>
      <w:rFonts w:ascii="Times New Roman" w:hAnsi="Times New Roman" w:eastAsia="宋体" w:cs="Times New Roman"/>
      <w:kern w:val="2"/>
      <w:sz w:val="18"/>
      <w:szCs w:val="18"/>
    </w:rPr>
  </w:style>
  <w:style w:type="character" w:customStyle="1" w:styleId="22">
    <w:name w:val="页眉 字符"/>
    <w:basedOn w:val="14"/>
    <w:link w:val="7"/>
    <w:qFormat/>
    <w:uiPriority w:val="0"/>
    <w:rPr>
      <w:rFonts w:ascii="Times New Roman" w:hAnsi="Times New Roman" w:eastAsia="宋体" w:cs="Times New Roman"/>
      <w:kern w:val="2"/>
      <w:sz w:val="18"/>
      <w:szCs w:val="18"/>
    </w:rPr>
  </w:style>
  <w:style w:type="character" w:customStyle="1" w:styleId="23">
    <w:name w:val="批注文字 字符"/>
    <w:basedOn w:val="14"/>
    <w:link w:val="16"/>
    <w:qFormat/>
    <w:uiPriority w:val="0"/>
    <w:rPr>
      <w:rFonts w:ascii="Times New Roman" w:hAnsi="Times New Roman" w:eastAsia="宋体" w:cs="Times New Roman"/>
      <w:kern w:val="2"/>
      <w:sz w:val="21"/>
      <w:szCs w:val="24"/>
    </w:rPr>
  </w:style>
  <w:style w:type="character" w:customStyle="1" w:styleId="24">
    <w:name w:val="批注主题 字符"/>
    <w:basedOn w:val="23"/>
    <w:link w:val="17"/>
    <w:qFormat/>
    <w:uiPriority w:val="0"/>
    <w:rPr>
      <w:rFonts w:ascii="Times New Roman" w:hAnsi="Times New Roman" w:eastAsia="宋体" w:cs="Times New Roman"/>
      <w:b/>
      <w:bCs/>
      <w:kern w:val="2"/>
      <w:sz w:val="21"/>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A075C2AEC1C54D1693797747003CB0A9_13</vt:lpwstr>
  </property>
  <property fmtid="{D5CDD505-2E9C-101B-9397-08002B2CF9AE}" pid="4" name="KSOTemplateDocerSaveRecord">
    <vt:lpwstr>eyJoZGlkIjoiMDVjNzA3MjcxYzAyYzEyMDA1NGVlYTVmNWFkYTRkOTgifQ==</vt:lpwstr>
  </property>
</Properties>
</file>

<file path=customXml/itemProps1.xml><?xml version="1.0" encoding="utf-8"?>
<ds:datastoreItem xmlns:ds="http://schemas.openxmlformats.org/officeDocument/2006/customXml" ds:itemID="{f72738f2-1a56-4191-a7a2-1986f3748fb3}">
  <ds:schemaRefs/>
</ds:datastoreItem>
</file>

<file path=docProps/app.xml><?xml version="1.0" encoding="utf-8"?>
<Properties xmlns="http://schemas.openxmlformats.org/officeDocument/2006/extended-properties" xmlns:vt="http://schemas.openxmlformats.org/officeDocument/2006/docPropsVTypes">
  <Template>Normal</Template>
  <Pages>21</Pages>
  <Words>9373</Words>
  <Characters>9563</Characters>
  <Lines>58</Lines>
  <Paragraphs>16</Paragraphs>
  <TotalTime>42</TotalTime>
  <ScaleCrop>false</ScaleCrop>
  <LinksUpToDate>false</LinksUpToDate>
  <CharactersWithSpaces>9578</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2023-03-08T13:13:00Z</dcterms:created>
  <dc:creator>审核人</dc:creator>
  <cp:lastModifiedBy>来财&amp;十个勤天</cp:lastModifiedBy>
  <cp:lastPrinted>2025-04-22T02:21:00Z</cp:lastPrinted>
  <dcterms:modified xsi:type="dcterms:W3CDTF">2025-10-31T07:04:13Z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A075C2AEC1C54D1693797747003CB0A9_13</vt:lpwstr>
  </property>
  <property fmtid="{D5CDD505-2E9C-101B-9397-08002B2CF9AE}" pid="4" name="KSOTemplateDocerSaveRecord">
    <vt:lpwstr>eyJoZGlkIjoiZTEwMTFjZmI3NWUwMGRmYWEyNzFiMzQ2OTlkZWE5ODAiLCJ1c2VySWQiOiIzNzI2MDMzNTYifQ==</vt:lpwstr>
  </property>
</Properties>
</file>